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8"/>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09"/>
        <w:gridCol w:w="8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pPr>
              <w:pStyle w:val="19"/>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p>
        </w:tc>
        <w:tc>
          <w:tcPr>
            <w:tcW w:w="8855" w:type="dxa"/>
          </w:tcPr>
          <w:p>
            <w:pPr>
              <w:pStyle w:val="19"/>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29.160.30</w:t>
            </w:r>
            <w:r>
              <w:rPr>
                <w:rFonts w:ascii="黑体" w:hAnsi="黑体" w:eastAsia="黑体"/>
                <w:sz w:val="21"/>
                <w:szCs w:val="21"/>
              </w:rPr>
              <w:fldChar w:fldCharType="end"/>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509" w:type="dxa"/>
          </w:tcPr>
          <w:p>
            <w:pPr>
              <w:pStyle w:val="19"/>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CCS</w:t>
            </w:r>
          </w:p>
        </w:tc>
        <w:tc>
          <w:tcPr>
            <w:tcW w:w="8855" w:type="dxa"/>
          </w:tcPr>
          <w:tbl>
            <w:tblPr>
              <w:tblStyle w:val="28"/>
              <w:tblpPr w:vertAnchor="page" w:horzAnchor="margin" w:tblpX="1" w:tblpY="341"/>
              <w:tblOverlap w:val="never"/>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0" w:type="dxa"/>
                <w:bottom w:w="0" w:type="dxa"/>
                <w:right w:w="113" w:type="dxa"/>
              </w:tblCellMar>
            </w:tblPr>
            <w:tblGrid>
              <w:gridCol w:w="9242"/>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113" w:type="dxa"/>
                </w:tblCellMar>
              </w:tblPrEx>
              <w:trPr>
                <w:trHeight w:val="1021" w:hRule="exact"/>
              </w:trPr>
              <w:tc>
                <w:tcPr>
                  <w:tcW w:w="9242" w:type="dxa"/>
                  <w:vAlign w:val="center"/>
                </w:tcPr>
                <w:p>
                  <w:pPr>
                    <w:pStyle w:val="50"/>
                    <w:framePr w:wrap="notBeside" w:vAnchor="page" w:hAnchor="page" w:x="1372" w:y="568"/>
                    <w:ind w:left="420" w:right="624"/>
                    <w:rPr>
                      <w:rFonts w:ascii="宋体" w:hAnsi="宋体"/>
                      <w:sz w:val="28"/>
                      <w:szCs w:val="28"/>
                    </w:rPr>
                  </w:pPr>
                </w:p>
              </w:tc>
            </w:tr>
          </w:tbl>
          <w:p>
            <w:pPr>
              <w:pStyle w:val="19"/>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K 22</w:t>
            </w:r>
            <w:r>
              <w:rPr>
                <w:rFonts w:ascii="黑体" w:hAnsi="黑体" w:eastAsia="黑体"/>
                <w:sz w:val="21"/>
                <w:szCs w:val="21"/>
              </w:rPr>
              <w:fldChar w:fldCharType="end"/>
            </w:r>
            <w:bookmarkEnd w:id="1"/>
          </w:p>
        </w:tc>
      </w:tr>
    </w:tbl>
    <w:p>
      <w:pPr>
        <w:pStyle w:val="51"/>
        <w:framePr w:w="9639" w:h="964" w:hRule="exact" w:hSpace="181" w:vSpace="181" w:wrap="around" w:hAnchor="page" w:x="1305" w:y="2161"/>
        <w:ind w:left="1275" w:leftChars="607" w:right="844" w:rightChars="402"/>
        <w:rPr>
          <w:rFonts w:ascii="黑体" w:hAnsi="黑体" w:eastAsia="黑体"/>
          <w:b w:val="0"/>
          <w:bCs w:val="0"/>
          <w:w w:val="100"/>
          <w:sz w:val="72"/>
          <w:szCs w:val="48"/>
        </w:rPr>
      </w:pPr>
      <w:bookmarkStart w:id="2" w:name="_Hlk26473981"/>
      <w:r>
        <w:rPr>
          <w:rFonts w:hint="eastAsia" w:ascii="黑体" w:eastAsia="黑体"/>
          <w:b w:val="0"/>
          <w:w w:val="100"/>
          <w:sz w:val="72"/>
        </w:rPr>
        <w:t>团体</w:t>
      </w:r>
      <w:r>
        <w:rPr>
          <w:rFonts w:hint="eastAsia" w:ascii="黑体" w:hAnsi="黑体" w:eastAsia="黑体"/>
          <w:b w:val="0"/>
          <w:bCs w:val="0"/>
          <w:w w:val="100"/>
          <w:sz w:val="72"/>
          <w:szCs w:val="48"/>
        </w:rPr>
        <w:t>标准</w:t>
      </w:r>
    </w:p>
    <w:bookmarkEnd w:id="2"/>
    <w:p>
      <w:pPr>
        <w:pStyle w:val="196"/>
        <w:framePr/>
      </w:pPr>
      <w:r>
        <w:t>T/</w:t>
      </w:r>
      <w:r>
        <w:fldChar w:fldCharType="begin">
          <w:ffData>
            <w:name w:val="文字1"/>
            <w:enabled/>
            <w:calcOnExit w:val="0"/>
            <w:textInput>
              <w:default w:val="XXX"/>
            </w:textInput>
          </w:ffData>
        </w:fldChar>
      </w:r>
      <w:bookmarkStart w:id="3" w:name="文字1"/>
      <w:r>
        <w:instrText xml:space="preserve"> FORMTEXT </w:instrText>
      </w:r>
      <w:r>
        <w:fldChar w:fldCharType="separate"/>
      </w:r>
      <w:r>
        <w:rPr>
          <w:rFonts w:hint="eastAsia"/>
        </w:rPr>
        <w:t>Z</w:t>
      </w:r>
      <w:r>
        <w:t>FA</w:t>
      </w:r>
      <w:r>
        <w:rPr>
          <w:rFonts w:hint="eastAsia"/>
        </w:rPr>
        <w:t xml:space="preserve"> </w:t>
      </w:r>
      <w:r>
        <w:fldChar w:fldCharType="end"/>
      </w:r>
      <w:bookmarkEnd w:id="3"/>
      <w:r>
        <w:fldChar w:fldCharType="begin">
          <w:ffData>
            <w:name w:val="NSTD_CODE_F"/>
            <w:enabled/>
            <w:calcOnExit w:val="0"/>
            <w:textInput>
              <w:default w:val="XXXX"/>
            </w:textInput>
          </w:ffData>
        </w:fldChar>
      </w:r>
      <w:bookmarkStart w:id="4" w:name="NSTD_CODE_F"/>
      <w:r>
        <w:instrText xml:space="preserve"> FORMTEXT </w:instrText>
      </w:r>
      <w:r>
        <w:fldChar w:fldCharType="separate"/>
      </w:r>
      <w:r>
        <w:t>XXXX</w:t>
      </w:r>
      <w:r>
        <w:fldChar w:fldCharType="end"/>
      </w:r>
      <w:bookmarkEnd w:id="4"/>
      <w:r>
        <w:rPr>
          <w:rFonts w:hAnsi="黑体"/>
        </w:rPr>
        <w:t>—</w:t>
      </w:r>
      <w:r>
        <w:fldChar w:fldCharType="begin">
          <w:ffData>
            <w:name w:val="NSTD_CODE_B"/>
            <w:enabled/>
            <w:calcOnExit w:val="0"/>
            <w:textInput>
              <w:default w:val="XXXX"/>
            </w:textInput>
          </w:ffData>
        </w:fldChar>
      </w:r>
      <w:bookmarkStart w:id="5" w:name="NSTD_CODE_B"/>
      <w:r>
        <w:instrText xml:space="preserve"> FORMTEXT </w:instrText>
      </w:r>
      <w:r>
        <w:fldChar w:fldCharType="separate"/>
      </w:r>
      <w:r>
        <w:t>XXXX</w:t>
      </w:r>
      <w:r>
        <w:fldChar w:fldCharType="end"/>
      </w:r>
      <w:bookmarkEnd w:id="5"/>
    </w:p>
    <w:p>
      <w:pPr>
        <w:pStyle w:val="197"/>
        <w:framePr/>
        <w:rPr>
          <w:rFonts w:hAnsi="黑体"/>
        </w:rPr>
      </w:pPr>
      <w:r>
        <w:rPr>
          <w:rFonts w:hAnsi="黑体"/>
        </w:rPr>
        <w:fldChar w:fldCharType="begin">
          <w:ffData>
            <w:name w:val="OSTD_CODE"/>
            <w:enabled/>
            <w:calcOnExit w:val="0"/>
            <w:textInput/>
          </w:ffData>
        </w:fldChar>
      </w:r>
      <w:bookmarkStart w:id="6"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6"/>
    </w:p>
    <w:p>
      <w:pPr>
        <w:spacing w:line="240" w:lineRule="auto"/>
        <w:rPr>
          <w:rFonts w:ascii="黑体" w:hAnsi="黑体" w:eastAsia="黑体"/>
          <w:kern w:val="0"/>
          <w:sz w:val="10"/>
          <w:szCs w:val="10"/>
        </w:rPr>
      </w:pPr>
      <w:r>
        <w:rPr>
          <w:rFonts w:ascii="黑体" w:hAnsi="黑体" w:eastAsia="黑体"/>
          <w:kern w:val="0"/>
          <w:sz w:val="10"/>
          <w:szCs w:val="10"/>
        </w:rPr>
        <w:pict>
          <v:line id="直接连接符 73" o:spid="_x0000_s2050" o:spt="20" style="position:absolute;left:0pt;margin-left:70.9pt;margin-top:212.65pt;height:0pt;width:481.9pt;mso-position-horizontal-relative:page;mso-position-vertical-relative:page;z-index:251659264;mso-width-relative:page;mso-height-relative:page;" coordsize="21600,21600" o:allowoverlap="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">
            <v:path arrowok="t"/>
            <v:fill focussize="0,0"/>
            <v:stroke/>
            <v:imagedata o:title=""/>
            <o:lock v:ext="edit"/>
          </v:line>
        </w:pict>
      </w:r>
    </w:p>
    <w:p>
      <w:pPr>
        <w:pStyle w:val="51"/>
        <w:framePr w:w="9639" w:h="6976" w:hRule="exact" w:hSpace="0" w:vSpace="0" w:wrap="around" w:hAnchor="page" w:y="6408"/>
        <w:jc w:val="center"/>
        <w:rPr>
          <w:rFonts w:ascii="黑体" w:hAnsi="黑体" w:eastAsia="黑体"/>
          <w:b w:val="0"/>
          <w:bCs w:val="0"/>
          <w:w w:val="100"/>
        </w:rPr>
      </w:pPr>
    </w:p>
    <w:p>
      <w:pPr>
        <w:pStyle w:val="198"/>
        <w:framePr w:h="6974" w:hRule="exact" w:wrap="around" w:x="1419" w:anchorLock="1"/>
      </w:pPr>
      <w:r>
        <w:fldChar w:fldCharType="begin">
          <w:ffData>
            <w:name w:val="CSTD_NAME"/>
            <w:enabled/>
            <w:calcOnExit w:val="0"/>
            <w:textInput>
              <w:default w:val="点击此处添加标准名称"/>
            </w:textInput>
          </w:ffData>
        </w:fldChar>
      </w:r>
      <w:bookmarkStart w:id="7" w:name="CSTD_NAME"/>
      <w:r>
        <w:instrText xml:space="preserve"> FORMTEXT </w:instrText>
      </w:r>
      <w:r>
        <w:fldChar w:fldCharType="separate"/>
      </w:r>
      <w:r>
        <w:t>智能家居用永磁直流有刷电动机</w:t>
      </w:r>
      <w:r>
        <w:fldChar w:fldCharType="end"/>
      </w:r>
      <w:bookmarkEnd w:id="7"/>
    </w:p>
    <w:p>
      <w:pPr>
        <w:framePr w:w="9639" w:h="6974" w:hRule="exact" w:wrap="around" w:vAnchor="page" w:hAnchor="page" w:x="1419" w:y="6408" w:anchorLock="1"/>
        <w:ind w:left="-1418"/>
      </w:pPr>
    </w:p>
    <w:p>
      <w:pPr>
        <w:pStyle w:val="126"/>
        <w:framePr w:w="9639" w:h="6974" w:hRule="exact" w:wrap="around" w:vAnchor="page" w:hAnchor="page" w:x="1419" w:y="6408" w:anchorLock="1"/>
        <w:textAlignment w:val="bottom"/>
        <w:rPr>
          <w:rFonts w:eastAsia="黑体"/>
          <w:szCs w:val="28"/>
        </w:rPr>
      </w:pPr>
      <w:r>
        <w:rPr>
          <w:rFonts w:eastAsia="黑体"/>
          <w:szCs w:val="28"/>
        </w:rPr>
        <w:fldChar w:fldCharType="begin">
          <w:ffData>
            <w:name w:val="ESTD_NAME"/>
            <w:enabled/>
            <w:calcOnExit w:val="0"/>
            <w:textInput>
              <w:default w:val="点击此处添加标准名称的英文译名"/>
            </w:textInput>
          </w:ffData>
        </w:fldChar>
      </w:r>
      <w:bookmarkStart w:id="8" w:name="ESTD_NAME"/>
      <w:r>
        <w:rPr>
          <w:rFonts w:eastAsia="黑体"/>
          <w:szCs w:val="28"/>
        </w:rPr>
        <w:instrText xml:space="preserve"> FORMTEXT </w:instrText>
      </w:r>
      <w:r>
        <w:rPr>
          <w:rFonts w:eastAsia="黑体"/>
          <w:szCs w:val="28"/>
        </w:rPr>
        <w:fldChar w:fldCharType="separate"/>
      </w:r>
      <w:r>
        <w:rPr>
          <w:rFonts w:eastAsia="黑体"/>
          <w:szCs w:val="28"/>
        </w:rPr>
        <w:t>Permanent magnet DC brush motor for intelligent home</w:t>
      </w:r>
      <w:r>
        <w:rPr>
          <w:rFonts w:eastAsia="黑体"/>
          <w:szCs w:val="28"/>
        </w:rPr>
        <w:fldChar w:fldCharType="end"/>
      </w:r>
      <w:bookmarkEnd w:id="8"/>
    </w:p>
    <w:p>
      <w:pPr>
        <w:framePr w:w="9639" w:h="6974" w:hRule="exact" w:wrap="around" w:vAnchor="page" w:hAnchor="page" w:x="1419" w:y="6408" w:anchorLock="1"/>
        <w:spacing w:line="760" w:lineRule="exact"/>
        <w:ind w:left="-1418"/>
      </w:pPr>
    </w:p>
    <w:p>
      <w:pPr>
        <w:pStyle w:val="126"/>
        <w:framePr w:w="9639" w:h="6974" w:hRule="exact" w:wrap="around" w:vAnchor="page" w:hAnchor="page" w:x="1419" w:y="6408" w:anchorLock="1"/>
        <w:textAlignment w:val="bottom"/>
        <w:rPr>
          <w:rFonts w:eastAsia="黑体"/>
          <w:szCs w:val="28"/>
        </w:rPr>
      </w:pPr>
    </w:p>
    <w:p>
      <w:pPr>
        <w:pStyle w:val="126"/>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9" w:name="下拉1"/>
      <w:r>
        <w:rPr>
          <w:sz w:val="24"/>
          <w:szCs w:val="28"/>
        </w:rPr>
        <w:instrText xml:space="preserve"> FORMDROPDOWN </w:instrText>
      </w:r>
      <w:r>
        <w:rPr>
          <w:sz w:val="24"/>
          <w:szCs w:val="28"/>
        </w:rPr>
        <w:fldChar w:fldCharType="separate"/>
      </w:r>
      <w:r>
        <w:rPr>
          <w:sz w:val="24"/>
          <w:szCs w:val="28"/>
        </w:rPr>
        <w:fldChar w:fldCharType="end"/>
      </w:r>
      <w:bookmarkEnd w:id="9"/>
    </w:p>
    <w:p>
      <w:pPr>
        <w:pStyle w:val="126"/>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0"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0"/>
    </w:p>
    <w:p>
      <w:pPr>
        <w:pStyle w:val="126"/>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1" w:name="下拉2"/>
      <w:r>
        <w:rPr>
          <w:b/>
          <w:sz w:val="21"/>
          <w:szCs w:val="28"/>
        </w:rPr>
        <w:instrText xml:space="preserve"> FORMDROPDOWN </w:instrText>
      </w:r>
      <w:r>
        <w:rPr>
          <w:b/>
          <w:sz w:val="21"/>
          <w:szCs w:val="28"/>
        </w:rPr>
        <w:fldChar w:fldCharType="separate"/>
      </w:r>
      <w:r>
        <w:rPr>
          <w:b/>
          <w:sz w:val="21"/>
          <w:szCs w:val="28"/>
        </w:rPr>
        <w:fldChar w:fldCharType="end"/>
      </w:r>
      <w:bookmarkEnd w:id="11"/>
    </w:p>
    <w:p>
      <w:pPr>
        <w:pStyle w:val="194"/>
        <w:framePr w:wrap="around" w:y="14176"/>
      </w:pPr>
      <w:r>
        <w:rPr>
          <w:rFonts w:ascii="黑体"/>
        </w:rPr>
        <w:fldChar w:fldCharType="begin">
          <w:ffData>
            <w:name w:val="PLSH_DATE_Y"/>
            <w:enabled/>
            <w:calcOnExit w:val="0"/>
            <w:textInput>
              <w:default w:val="XXXX"/>
              <w:maxLength w:val="4"/>
            </w:textInput>
          </w:ffData>
        </w:fldChar>
      </w:r>
      <w:bookmarkStart w:id="12"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2"/>
      <w:r>
        <w:rPr>
          <w:rFonts w:ascii="黑体"/>
        </w:rPr>
        <w:t>-</w:t>
      </w:r>
      <w:r>
        <w:rPr>
          <w:rFonts w:ascii="黑体"/>
        </w:rPr>
        <w:fldChar w:fldCharType="begin">
          <w:ffData>
            <w:name w:val="PLSH_DATE_M"/>
            <w:enabled/>
            <w:calcOnExit w:val="0"/>
            <w:textInput>
              <w:default w:val="XX"/>
              <w:maxLength w:val="2"/>
            </w:textInput>
          </w:ffData>
        </w:fldChar>
      </w:r>
      <w:bookmarkStart w:id="13"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3"/>
      <w:r>
        <w:rPr>
          <w:rFonts w:ascii="黑体"/>
        </w:rPr>
        <w:t>-</w:t>
      </w:r>
      <w:r>
        <w:rPr>
          <w:rFonts w:ascii="黑体"/>
        </w:rPr>
        <w:fldChar w:fldCharType="begin">
          <w:ffData>
            <w:name w:val="PLSH_DATE_D"/>
            <w:enabled/>
            <w:calcOnExit w:val="0"/>
            <w:textInput>
              <w:default w:val="XX"/>
              <w:maxLength w:val="2"/>
            </w:textInput>
          </w:ffData>
        </w:fldChar>
      </w:r>
      <w:bookmarkStart w:id="14"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4"/>
      <w:r>
        <w:rPr>
          <w:rFonts w:hint="eastAsia"/>
        </w:rPr>
        <w:t>发布</w:t>
      </w:r>
    </w:p>
    <w:p>
      <w:pPr>
        <w:pStyle w:val="195"/>
        <w:framePr w:wrap="around" w:y="14176"/>
      </w:pPr>
      <w:r>
        <w:rPr>
          <w:rFonts w:ascii="黑体"/>
        </w:rPr>
        <w:fldChar w:fldCharType="begin">
          <w:ffData>
            <w:name w:val="CROT_DATE_Y"/>
            <w:enabled/>
            <w:calcOnExit w:val="0"/>
            <w:textInput>
              <w:default w:val="XXXX"/>
              <w:maxLength w:val="4"/>
            </w:textInput>
          </w:ffData>
        </w:fldChar>
      </w:r>
      <w:bookmarkStart w:id="15"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5"/>
      <w:r>
        <w:rPr>
          <w:rFonts w:ascii="黑体"/>
        </w:rPr>
        <w:t>-</w:t>
      </w:r>
      <w:r>
        <w:rPr>
          <w:rFonts w:ascii="黑体"/>
        </w:rPr>
        <w:fldChar w:fldCharType="begin">
          <w:ffData>
            <w:name w:val="CROT_DATE_M"/>
            <w:enabled/>
            <w:calcOnExit w:val="0"/>
            <w:textInput>
              <w:default w:val="XX"/>
              <w:maxLength w:val="2"/>
            </w:textInput>
          </w:ffData>
        </w:fldChar>
      </w:r>
      <w:bookmarkStart w:id="16"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ascii="黑体"/>
        </w:rPr>
        <w:t>-</w:t>
      </w:r>
      <w:r>
        <w:rPr>
          <w:rFonts w:ascii="黑体"/>
        </w:rPr>
        <w:fldChar w:fldCharType="begin">
          <w:ffData>
            <w:name w:val="CROT_DATE_D"/>
            <w:enabled/>
            <w:calcOnExit w:val="0"/>
            <w:textInput>
              <w:default w:val="XX"/>
              <w:maxLength w:val="2"/>
            </w:textInput>
          </w:ffData>
        </w:fldChar>
      </w:r>
      <w:bookmarkStart w:id="17"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7"/>
      <w:r>
        <w:rPr>
          <w:rFonts w:hint="eastAsia"/>
        </w:rPr>
        <w:t>实施</w:t>
      </w:r>
    </w:p>
    <w:p>
      <w:pPr>
        <w:pStyle w:val="152"/>
        <w:framePr w:h="584" w:hRule="exact" w:hSpace="181" w:vSpace="181" w:wrap="around" w:y="14800"/>
        <w:rPr>
          <w:rFonts w:hAnsi="黑体"/>
        </w:rPr>
      </w:pPr>
      <w:r>
        <w:rPr>
          <w:rFonts w:hAnsi="黑体"/>
          <w:w w:val="100"/>
          <w:sz w:val="28"/>
        </w:rPr>
        <w:fldChar w:fldCharType="begin">
          <w:ffData>
            <w:name w:val="fm"/>
            <w:enabled/>
            <w:calcOnExit w:val="0"/>
            <w:textInput/>
          </w:ffData>
        </w:fldChar>
      </w:r>
      <w:bookmarkStart w:id="18" w:name="fm"/>
      <w:r>
        <w:rPr>
          <w:rFonts w:hAnsi="黑体"/>
          <w:w w:val="100"/>
          <w:sz w:val="28"/>
        </w:rPr>
        <w:instrText xml:space="preserve"> FORMTEXT </w:instrText>
      </w:r>
      <w:r>
        <w:rPr>
          <w:rFonts w:hAnsi="黑体"/>
          <w:w w:val="100"/>
          <w:sz w:val="28"/>
        </w:rPr>
        <w:fldChar w:fldCharType="separate"/>
      </w:r>
      <w:r>
        <w:rPr>
          <w:rFonts w:hint="eastAsia" w:hAnsi="黑体"/>
          <w:w w:val="100"/>
          <w:sz w:val="28"/>
        </w:rPr>
        <w:t>浙江省家具行业协会</w:t>
      </w:r>
      <w:r>
        <w:rPr>
          <w:rFonts w:hAnsi="黑体"/>
          <w:w w:val="100"/>
          <w:sz w:val="28"/>
        </w:rPr>
        <w:fldChar w:fldCharType="end"/>
      </w:r>
      <w:bookmarkEnd w:id="18"/>
      <w:r>
        <w:rPr>
          <w:rFonts w:ascii="Times New Roman"/>
          <w:w w:val="100"/>
          <w:sz w:val="28"/>
        </w:rPr>
        <w:t>  </w:t>
      </w:r>
      <w:r>
        <w:rPr>
          <w:rStyle w:val="230"/>
          <w:rFonts w:hint="eastAsia" w:hAnsi="黑体"/>
          <w:position w:val="0"/>
        </w:rPr>
        <w:t>发</w:t>
      </w:r>
      <w:r>
        <w:rPr>
          <w:rStyle w:val="230"/>
          <w:rFonts w:hint="eastAsia" w:hAnsi="黑体"/>
          <w:spacing w:val="0"/>
          <w:position w:val="0"/>
        </w:rPr>
        <w:t>布</w:t>
      </w:r>
    </w:p>
    <w:p>
      <w:pPr>
        <w:rPr>
          <w:rFonts w:ascii="宋体" w:hAnsi="宋体"/>
          <w:sz w:val="28"/>
          <w:szCs w:val="28"/>
        </w:rPr>
        <w:sectPr>
          <w:headerReference r:id="rId6" w:type="first"/>
          <w:footerReference r:id="rId8" w:type="first"/>
          <w:headerReference r:id="rId5" w:type="default"/>
          <w:footerReference r:id="rId7" w:type="even"/>
          <w:type w:val="continuous"/>
          <w:pgSz w:w="11906" w:h="16838"/>
          <w:pgMar w:top="567" w:right="1134" w:bottom="1134" w:left="1134" w:header="1418" w:footer="1134" w:gutter="284"/>
          <w:cols w:space="425" w:num="1"/>
          <w:titlePg/>
          <w:docGrid w:linePitch="312" w:charSpace="0"/>
        </w:sectPr>
      </w:pPr>
      <w:r>
        <w:rPr>
          <w:rFonts w:ascii="宋体" w:hAnsi="宋体"/>
          <w:sz w:val="28"/>
          <w:szCs w:val="28"/>
        </w:rPr>
        <w:pict>
          <v:line id="直接连接符 5" o:spid="_x0000_s2051" o:spt="20" style="position:absolute;left:0pt;margin-left:70.85pt;margin-top:728.6pt;height:0pt;width:481.9pt;mso-position-horizontal-relative:page;mso-position-vertical-relative:page;z-index:251660288;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">
            <v:path arrowok="t"/>
            <v:fill focussize="0,0"/>
            <v:stroke/>
            <v:imagedata o:title=""/>
            <o:lock v:ext="edit"/>
            <w10:anchorlock/>
          </v:line>
        </w:pict>
      </w:r>
    </w:p>
    <w:p>
      <w:pPr>
        <w:pStyle w:val="92"/>
        <w:spacing w:after="360"/>
      </w:pPr>
      <w:bookmarkStart w:id="19" w:name="BookMark1"/>
      <w:bookmarkStart w:id="20" w:name="_Toc107511362"/>
      <w:bookmarkStart w:id="21" w:name="_Toc107511267"/>
      <w:bookmarkStart w:id="22" w:name="_Toc112076694"/>
      <w:bookmarkStart w:id="23" w:name="_Toc129333951"/>
      <w:bookmarkStart w:id="24" w:name="_Toc129333998"/>
      <w:bookmarkStart w:id="25" w:name="_Toc103708420"/>
      <w:bookmarkStart w:id="26" w:name="_Toc71201056"/>
      <w:bookmarkStart w:id="27" w:name="_Toc112912932"/>
      <w:bookmarkStart w:id="28" w:name="_Toc99350761"/>
      <w:r>
        <w:rPr>
          <w:rFonts w:hint="eastAsia"/>
          <w:spacing w:val="320"/>
        </w:rPr>
        <w:t>目</w:t>
      </w:r>
      <w:r>
        <w:rPr>
          <w:rFonts w:hint="eastAsia"/>
        </w:rPr>
        <w:t>次</w:t>
      </w:r>
    </w:p>
    <w:p>
      <w:pPr>
        <w:pStyle w:val="20"/>
        <w:tabs>
          <w:tab w:val="right" w:leader="dot" w:pos="9344"/>
        </w:tabs>
        <w:rPr>
          <w:rFonts w:asciiTheme="minorHAnsi" w:hAnsiTheme="minorHAnsi" w:eastAsiaTheme="minorEastAsia" w:cstheme="minorBidi"/>
          <w:szCs w:val="22"/>
        </w:rPr>
      </w:pPr>
      <w:r>
        <w:fldChar w:fldCharType="begin"/>
      </w:r>
      <w:r>
        <w:instrText xml:space="preserve"> TOC \o "1-1" \h </w:instrText>
      </w:r>
      <w:r>
        <w:fldChar w:fldCharType="separate"/>
      </w:r>
      <w:r>
        <w:fldChar w:fldCharType="begin"/>
      </w:r>
      <w:r>
        <w:instrText xml:space="preserve"> HYPERLINK \l "_Toc129701641" </w:instrText>
      </w:r>
      <w:r>
        <w:fldChar w:fldCharType="separate"/>
      </w:r>
      <w:r>
        <w:rPr>
          <w:rStyle w:val="33"/>
          <w:rFonts w:hint="eastAsia"/>
        </w:rPr>
        <w:t>前言</w:t>
      </w:r>
      <w:r>
        <w:tab/>
      </w:r>
      <w:r>
        <w:fldChar w:fldCharType="begin"/>
      </w:r>
      <w:r>
        <w:instrText xml:space="preserve"> PAGEREF _Toc129701641 \h </w:instrText>
      </w:r>
      <w:r>
        <w:fldChar w:fldCharType="separate"/>
      </w:r>
      <w:r>
        <w:t>II</w:t>
      </w:r>
      <w:r>
        <w:fldChar w:fldCharType="end"/>
      </w:r>
      <w: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"_Toc129701642" </w:instrText>
      </w:r>
      <w:r>
        <w:fldChar w:fldCharType="separate"/>
      </w:r>
      <w:r>
        <w:rPr>
          <w:rStyle w:val="33"/>
        </w:rPr>
        <w:t xml:space="preserve">1 </w:t>
      </w:r>
      <w:r>
        <w:rPr>
          <w:rStyle w:val="33"/>
          <w:rFonts w:hint="eastAsia"/>
        </w:rPr>
        <w:t xml:space="preserve"> 范围</w:t>
      </w:r>
      <w:r>
        <w:tab/>
      </w:r>
      <w:r>
        <w:fldChar w:fldCharType="begin"/>
      </w:r>
      <w:r>
        <w:instrText xml:space="preserve"> PAGEREF _Toc129701642 \h </w:instrText>
      </w:r>
      <w:r>
        <w:fldChar w:fldCharType="separate"/>
      </w:r>
      <w:r>
        <w:t>1</w:t>
      </w:r>
      <w:r>
        <w:fldChar w:fldCharType="end"/>
      </w:r>
      <w: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"_Toc129701643" </w:instrText>
      </w:r>
      <w:r>
        <w:fldChar w:fldCharType="separate"/>
      </w:r>
      <w:r>
        <w:rPr>
          <w:rStyle w:val="33"/>
        </w:rPr>
        <w:t xml:space="preserve">2 </w:t>
      </w:r>
      <w:r>
        <w:rPr>
          <w:rStyle w:val="33"/>
          <w:rFonts w:hint="eastAsia"/>
        </w:rPr>
        <w:t xml:space="preserve"> 规范性引用文件</w:t>
      </w:r>
      <w:r>
        <w:tab/>
      </w:r>
      <w:r>
        <w:fldChar w:fldCharType="begin"/>
      </w:r>
      <w:r>
        <w:instrText xml:space="preserve"> PAGEREF _Toc129701643 \h </w:instrText>
      </w:r>
      <w:r>
        <w:fldChar w:fldCharType="separate"/>
      </w:r>
      <w:r>
        <w:t>1</w:t>
      </w:r>
      <w:r>
        <w:fldChar w:fldCharType="end"/>
      </w:r>
      <w: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"_Toc129701644" </w:instrText>
      </w:r>
      <w:r>
        <w:fldChar w:fldCharType="separate"/>
      </w:r>
      <w:r>
        <w:rPr>
          <w:rStyle w:val="33"/>
        </w:rPr>
        <w:t xml:space="preserve">3 </w:t>
      </w:r>
      <w:r>
        <w:rPr>
          <w:rStyle w:val="33"/>
          <w:rFonts w:hint="eastAsia"/>
        </w:rPr>
        <w:t xml:space="preserve"> 术语和定义</w:t>
      </w:r>
      <w:r>
        <w:tab/>
      </w:r>
      <w:r>
        <w:fldChar w:fldCharType="begin"/>
      </w:r>
      <w:r>
        <w:instrText xml:space="preserve"> PAGEREF _Toc129701644 \h </w:instrText>
      </w:r>
      <w:r>
        <w:fldChar w:fldCharType="separate"/>
      </w:r>
      <w:r>
        <w:t>1</w:t>
      </w:r>
      <w:r>
        <w:fldChar w:fldCharType="end"/>
      </w:r>
      <w: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"_Toc129701645" </w:instrText>
      </w:r>
      <w:r>
        <w:fldChar w:fldCharType="separate"/>
      </w:r>
      <w:r>
        <w:rPr>
          <w:rStyle w:val="33"/>
        </w:rPr>
        <w:t xml:space="preserve">4 </w:t>
      </w:r>
      <w:r>
        <w:rPr>
          <w:rStyle w:val="33"/>
          <w:rFonts w:hint="eastAsia"/>
        </w:rPr>
        <w:t xml:space="preserve"> 基本要求</w:t>
      </w:r>
      <w:r>
        <w:tab/>
      </w:r>
      <w:r>
        <w:fldChar w:fldCharType="begin"/>
      </w:r>
      <w:r>
        <w:instrText xml:space="preserve"> PAGEREF _Toc129701645 \h </w:instrText>
      </w:r>
      <w:r>
        <w:fldChar w:fldCharType="separate"/>
      </w:r>
      <w:r>
        <w:t>1</w:t>
      </w:r>
      <w:r>
        <w:fldChar w:fldCharType="end"/>
      </w:r>
      <w: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"_Toc129701646" </w:instrText>
      </w:r>
      <w:r>
        <w:fldChar w:fldCharType="separate"/>
      </w:r>
      <w:r>
        <w:rPr>
          <w:rStyle w:val="33"/>
        </w:rPr>
        <w:t xml:space="preserve">5 </w:t>
      </w:r>
      <w:r>
        <w:rPr>
          <w:rStyle w:val="33"/>
          <w:rFonts w:hint="eastAsia"/>
        </w:rPr>
        <w:t xml:space="preserve"> 技术要求</w:t>
      </w:r>
      <w:r>
        <w:tab/>
      </w:r>
      <w:r>
        <w:fldChar w:fldCharType="begin"/>
      </w:r>
      <w:r>
        <w:instrText xml:space="preserve"> PAGEREF _Toc129701646 \h </w:instrText>
      </w:r>
      <w:r>
        <w:fldChar w:fldCharType="separate"/>
      </w:r>
      <w:r>
        <w:t>2</w:t>
      </w:r>
      <w:r>
        <w:fldChar w:fldCharType="end"/>
      </w:r>
      <w: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"_Toc129701647" </w:instrText>
      </w:r>
      <w:r>
        <w:fldChar w:fldCharType="separate"/>
      </w:r>
      <w:r>
        <w:rPr>
          <w:rStyle w:val="33"/>
        </w:rPr>
        <w:t xml:space="preserve">6 </w:t>
      </w:r>
      <w:r>
        <w:rPr>
          <w:rStyle w:val="33"/>
          <w:rFonts w:hint="eastAsia"/>
        </w:rPr>
        <w:t xml:space="preserve"> 试验方法</w:t>
      </w:r>
      <w:r>
        <w:tab/>
      </w:r>
      <w:r>
        <w:fldChar w:fldCharType="begin"/>
      </w:r>
      <w:r>
        <w:instrText xml:space="preserve"> PAGEREF _Toc129701647 \h </w:instrText>
      </w:r>
      <w:r>
        <w:fldChar w:fldCharType="separate"/>
      </w:r>
      <w:r>
        <w:t>3</w:t>
      </w:r>
      <w:r>
        <w:fldChar w:fldCharType="end"/>
      </w:r>
      <w: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"_Toc129701648" </w:instrText>
      </w:r>
      <w:r>
        <w:fldChar w:fldCharType="separate"/>
      </w:r>
      <w:r>
        <w:rPr>
          <w:rStyle w:val="33"/>
        </w:rPr>
        <w:t xml:space="preserve">7 </w:t>
      </w:r>
      <w:r>
        <w:rPr>
          <w:rStyle w:val="33"/>
          <w:rFonts w:hint="eastAsia"/>
        </w:rPr>
        <w:t xml:space="preserve"> 检验规则</w:t>
      </w:r>
      <w:r>
        <w:tab/>
      </w:r>
      <w:r>
        <w:fldChar w:fldCharType="begin"/>
      </w:r>
      <w:r>
        <w:instrText xml:space="preserve"> PAGEREF _Toc129701648 \h </w:instrText>
      </w:r>
      <w:r>
        <w:fldChar w:fldCharType="separate"/>
      </w:r>
      <w:r>
        <w:t>4</w:t>
      </w:r>
      <w:r>
        <w:fldChar w:fldCharType="end"/>
      </w:r>
      <w:r>
        <w:fldChar w:fldCharType="end"/>
      </w:r>
    </w:p>
    <w:p>
      <w:pPr>
        <w:pStyle w:val="20"/>
        <w:tabs>
          <w:tab w:val="right" w:leader="dot" w:pos="9344"/>
        </w:tabs>
        <w:rPr>
          <w:rFonts w:asciiTheme="minorHAnsi" w:hAnsiTheme="minorHAnsi" w:eastAsiaTheme="minorEastAsia" w:cstheme="minorBidi"/>
          <w:szCs w:val="22"/>
        </w:rPr>
      </w:pPr>
      <w:r>
        <w:fldChar w:fldCharType="begin"/>
      </w:r>
      <w:r>
        <w:instrText xml:space="preserve"> HYPERLINK \l "_Toc129701649" </w:instrText>
      </w:r>
      <w:r>
        <w:fldChar w:fldCharType="separate"/>
      </w:r>
      <w:r>
        <w:rPr>
          <w:rStyle w:val="33"/>
        </w:rPr>
        <w:t xml:space="preserve">8 </w:t>
      </w:r>
      <w:r>
        <w:rPr>
          <w:rStyle w:val="33"/>
          <w:rFonts w:hint="eastAsia"/>
        </w:rPr>
        <w:t xml:space="preserve"> 标志、包装、运输和贮存</w:t>
      </w:r>
      <w:r>
        <w:tab/>
      </w:r>
      <w:r>
        <w:fldChar w:fldCharType="begin"/>
      </w:r>
      <w:r>
        <w:instrText xml:space="preserve"> PAGEREF _Toc129701649 \h </w:instrText>
      </w:r>
      <w:r>
        <w:fldChar w:fldCharType="separate"/>
      </w:r>
      <w:r>
        <w:t>5</w:t>
      </w:r>
      <w:r>
        <w:fldChar w:fldCharType="end"/>
      </w:r>
      <w:r>
        <w:fldChar w:fldCharType="end"/>
      </w:r>
    </w:p>
    <w:p>
      <w:pPr>
        <w:pStyle w:val="92"/>
        <w:spacing w:after="360"/>
        <w:sectPr>
          <w:headerReference r:id="rId9" w:type="default"/>
          <w:footerReference r:id="rId11" w:type="default"/>
          <w:headerReference r:id="rId10" w:type="even"/>
          <w:pgSz w:w="11906" w:h="16838"/>
          <w:pgMar w:top="567" w:right="1134" w:bottom="1134" w:left="1134" w:header="1418" w:footer="1134" w:gutter="284"/>
          <w:pgNumType w:fmt="upperRoman" w:start="1"/>
          <w:cols w:space="425" w:num="1"/>
          <w:formProt w:val="0"/>
          <w:docGrid w:linePitch="312" w:charSpace="0"/>
        </w:sectPr>
      </w:pPr>
      <w:r>
        <w:fldChar w:fldCharType="end"/>
      </w:r>
    </w:p>
    <w:bookmarkEnd w:id="19"/>
    <w:p>
      <w:pPr>
        <w:pStyle w:val="90"/>
        <w:spacing w:after="360"/>
      </w:pPr>
      <w:bookmarkStart w:id="29" w:name="_Toc129701641"/>
      <w:bookmarkStart w:id="30" w:name="BookMark2"/>
      <w:r>
        <w:rPr>
          <w:spacing w:val="320"/>
        </w:rPr>
        <w:t>前</w:t>
      </w:r>
      <w:r>
        <w:t>言</w:t>
      </w:r>
      <w:bookmarkEnd w:id="20"/>
      <w:bookmarkEnd w:id="21"/>
      <w:bookmarkEnd w:id="22"/>
      <w:bookmarkEnd w:id="23"/>
      <w:bookmarkEnd w:id="24"/>
      <w:bookmarkEnd w:id="25"/>
      <w:bookmarkEnd w:id="26"/>
      <w:bookmarkEnd w:id="27"/>
      <w:bookmarkEnd w:id="28"/>
      <w:bookmarkEnd w:id="29"/>
    </w:p>
    <w:p>
      <w:pPr>
        <w:pStyle w:val="57"/>
        <w:ind w:firstLine="420"/>
      </w:pPr>
      <w:r>
        <w:rPr>
          <w:rFonts w:hint="eastAsia"/>
        </w:rPr>
        <w:t>本文件按照GB/T 1.1—2020《标准化工作导则  第1部分：标准化文件的结构和起草规则》的规定起草。</w:t>
      </w:r>
    </w:p>
    <w:p>
      <w:pPr>
        <w:pStyle w:val="57"/>
        <w:ind w:firstLine="420"/>
      </w:pPr>
      <w:r>
        <w:rPr>
          <w:rFonts w:hint="eastAsia"/>
        </w:rPr>
        <w:t>请注意本文件的某些内容可能涉及专利。本文件的发布机构不承担识别这些专利的责任。</w:t>
      </w:r>
    </w:p>
    <w:p>
      <w:pPr>
        <w:pStyle w:val="57"/>
        <w:ind w:firstLine="420"/>
      </w:pPr>
      <w:r>
        <w:rPr>
          <w:rFonts w:hint="eastAsia"/>
        </w:rPr>
        <w:t>本文件由浙江省家具行业协会提出并归口。</w:t>
      </w:r>
    </w:p>
    <w:p>
      <w:pPr>
        <w:pStyle w:val="57"/>
        <w:ind w:firstLine="420"/>
      </w:pPr>
      <w:r>
        <w:rPr>
          <w:rFonts w:hint="eastAsia"/>
        </w:rPr>
        <w:t>本文件起草单位：</w:t>
      </w:r>
    </w:p>
    <w:p>
      <w:pPr>
        <w:pStyle w:val="57"/>
        <w:ind w:firstLine="420"/>
      </w:pPr>
      <w:r>
        <w:rPr>
          <w:rFonts w:hint="eastAsia"/>
        </w:rPr>
        <w:t>本文件主要起草人：</w:t>
      </w:r>
    </w:p>
    <w:p>
      <w:pPr>
        <w:pStyle w:val="57"/>
        <w:ind w:firstLine="420"/>
      </w:pPr>
    </w:p>
    <w:p>
      <w:pPr>
        <w:pStyle w:val="57"/>
        <w:ind w:firstLine="420"/>
        <w:sectPr>
          <w:pgSz w:w="11906" w:h="16838"/>
          <w:pgMar w:top="567" w:right="1134" w:bottom="1134" w:left="1134" w:header="1418" w:footer="1134" w:gutter="284"/>
          <w:pgNumType w:fmt="upperRoman"/>
          <w:cols w:space="425" w:num="1"/>
          <w:formProt w:val="0"/>
          <w:docGrid w:linePitch="312" w:charSpace="0"/>
        </w:sectPr>
      </w:pPr>
      <w:bookmarkStart w:id="183" w:name="_GoBack"/>
      <w:bookmarkEnd w:id="183"/>
    </w:p>
    <w:bookmarkEnd w:id="30"/>
    <w:p>
      <w:pPr>
        <w:spacing w:line="20" w:lineRule="exact"/>
        <w:jc w:val="center"/>
        <w:rPr>
          <w:rFonts w:ascii="黑体" w:hAnsi="黑体" w:eastAsia="黑体"/>
          <w:sz w:val="32"/>
          <w:szCs w:val="32"/>
        </w:rPr>
      </w:pPr>
      <w:bookmarkStart w:id="31" w:name="BookMark4"/>
    </w:p>
    <w:p>
      <w:pPr>
        <w:spacing w:line="20" w:lineRule="exact"/>
        <w:jc w:val="center"/>
        <w:rPr>
          <w:rFonts w:ascii="黑体" w:hAnsi="黑体" w:eastAsia="黑体"/>
          <w:sz w:val="32"/>
          <w:szCs w:val="32"/>
        </w:rPr>
      </w:pPr>
    </w:p>
    <w:sdt>
      <w:sdtPr>
        <w:tag w:val="NEW_STAND_NAME"/>
        <w:id w:val="595910757"/>
        <w:lock w:val="sdtLocked"/>
        <w:placeholder>
          <w:docPart w:val="7F78032B88594E32A3B39E62F7A4F8CD"/>
        </w:placeholder>
      </w:sdtPr>
      <w:sdtContent>
        <w:p>
          <w:pPr>
            <w:pStyle w:val="178"/>
            <w:spacing w:before="2" w:beforeLines="1" w:after="528" w:afterLines="220"/>
          </w:pPr>
          <w:bookmarkStart w:id="32" w:name="NEW_STAND_NAME"/>
          <w:r>
            <w:rPr>
              <w:rFonts w:hint="eastAsia"/>
            </w:rPr>
            <w:t>智能家居用永磁直流有刷电动机</w:t>
          </w:r>
        </w:p>
      </w:sdtContent>
    </w:sdt>
    <w:bookmarkEnd w:id="32"/>
    <w:p>
      <w:pPr>
        <w:pStyle w:val="105"/>
        <w:spacing w:before="240" w:after="240"/>
        <w:rPr>
          <w:rFonts w:ascii="宋体" w:eastAsia="宋体"/>
        </w:rPr>
      </w:pPr>
      <w:bookmarkStart w:id="33" w:name="_Toc26718930"/>
      <w:bookmarkStart w:id="34" w:name="_Toc24884218"/>
      <w:bookmarkStart w:id="35" w:name="_Toc26986530"/>
      <w:bookmarkStart w:id="36" w:name="_Toc26648465"/>
      <w:bookmarkStart w:id="37" w:name="_Toc103708421"/>
      <w:bookmarkStart w:id="38" w:name="_Toc99350762"/>
      <w:bookmarkStart w:id="39" w:name="_Toc107511268"/>
      <w:bookmarkStart w:id="40" w:name="_Toc112076695"/>
      <w:bookmarkStart w:id="41" w:name="_Toc129333952"/>
      <w:bookmarkStart w:id="42" w:name="_Toc17233333"/>
      <w:bookmarkStart w:id="43" w:name="_Toc129701642"/>
      <w:bookmarkStart w:id="44" w:name="_Toc129333999"/>
      <w:bookmarkStart w:id="45" w:name="_Toc112912933"/>
      <w:bookmarkStart w:id="46" w:name="_Toc71201057"/>
      <w:bookmarkStart w:id="47" w:name="_Toc17233325"/>
      <w:bookmarkStart w:id="48" w:name="_Toc26986771"/>
      <w:bookmarkStart w:id="49" w:name="_Toc107511363"/>
      <w:bookmarkStart w:id="50" w:name="_Toc24884211"/>
      <w:r>
        <w:rPr>
          <w:rFonts w:hint="eastAsia"/>
        </w:rPr>
        <w:t>范围</w:t>
      </w:r>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p>
    <w:p>
      <w:pPr>
        <w:pStyle w:val="57"/>
        <w:ind w:firstLine="420"/>
      </w:pPr>
      <w:bookmarkStart w:id="51" w:name="_Toc24884212"/>
      <w:bookmarkStart w:id="52" w:name="_Toc24884219"/>
      <w:bookmarkStart w:id="53" w:name="_Toc26648466"/>
      <w:bookmarkStart w:id="54" w:name="_Toc17233326"/>
      <w:bookmarkStart w:id="55" w:name="_Toc17233334"/>
      <w:r>
        <w:rPr>
          <w:rFonts w:hint="eastAsia"/>
        </w:rPr>
        <w:t>本文件规定了智能家居用永磁直流有刷电动机的要求、试验方法、检验规则、标志、包装、运输和贮存以及质量承诺。</w:t>
      </w:r>
    </w:p>
    <w:p>
      <w:pPr>
        <w:pStyle w:val="57"/>
        <w:ind w:firstLine="420"/>
      </w:pPr>
      <w:r>
        <w:rPr>
          <w:rFonts w:hint="eastAsia"/>
        </w:rPr>
        <w:t>本文件适用于智能家居用永磁直流有刷电动机（以下简称“电动机”）。</w:t>
      </w:r>
    </w:p>
    <w:p>
      <w:pPr>
        <w:pStyle w:val="105"/>
        <w:spacing w:before="240" w:after="240"/>
        <w:rPr>
          <w:rFonts w:ascii="宋体" w:eastAsia="宋体"/>
        </w:rPr>
      </w:pPr>
      <w:bookmarkStart w:id="56" w:name="_Toc26986531"/>
      <w:bookmarkStart w:id="57" w:name="_Toc103708422"/>
      <w:bookmarkStart w:id="58" w:name="_Toc26718931"/>
      <w:bookmarkStart w:id="59" w:name="_Toc26986772"/>
      <w:bookmarkStart w:id="60" w:name="_Toc71201058"/>
      <w:bookmarkStart w:id="61" w:name="_Toc99350763"/>
      <w:bookmarkStart w:id="62" w:name="_Toc107511269"/>
      <w:bookmarkStart w:id="63" w:name="_Toc107511364"/>
      <w:bookmarkStart w:id="64" w:name="_Toc112076696"/>
      <w:bookmarkStart w:id="65" w:name="_Toc112912934"/>
      <w:bookmarkStart w:id="66" w:name="_Toc129333953"/>
      <w:bookmarkStart w:id="67" w:name="_Toc129334000"/>
      <w:bookmarkStart w:id="68" w:name="_Toc129701643"/>
      <w:r>
        <w:rPr>
          <w:rFonts w:hint="eastAsia" w:ascii="宋体" w:eastAsia="宋体"/>
        </w:rPr>
        <w:t>规范性引用文件</w:t>
      </w:r>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sdt>
      <w:sdtPr>
        <w:rPr>
          <w:rFonts w:hint="eastAsia"/>
        </w:rPr>
        <w:id w:val="715848253"/>
        <w:placeholder>
          <w:docPart w:val="1128178FFB324015A2E6A0031D0C445D"/>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pPr>
            <w:pStyle w:val="57"/>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pPr>
        <w:pStyle w:val="57"/>
        <w:ind w:firstLine="420"/>
      </w:pPr>
      <w:bookmarkStart w:id="69" w:name="_Toc71201059"/>
      <w:bookmarkStart w:id="70" w:name="_Toc103708423"/>
      <w:bookmarkStart w:id="71" w:name="_Toc99350764"/>
      <w:bookmarkStart w:id="72" w:name="_Toc107511270"/>
      <w:bookmarkStart w:id="73" w:name="_Toc107511365"/>
      <w:bookmarkStart w:id="74" w:name="_Toc112912935"/>
      <w:bookmarkStart w:id="75" w:name="_Toc112076697"/>
      <w:r>
        <w:rPr>
          <w:rFonts w:hint="eastAsia"/>
        </w:rPr>
        <w:t xml:space="preserve">GB/T 191 </w:t>
      </w:r>
      <w:r>
        <w:t xml:space="preserve"> </w:t>
      </w:r>
      <w:r>
        <w:rPr>
          <w:rFonts w:hint="eastAsia"/>
        </w:rPr>
        <w:t>包装储运图示标志</w:t>
      </w:r>
    </w:p>
    <w:p>
      <w:pPr>
        <w:pStyle w:val="57"/>
        <w:ind w:firstLine="420"/>
      </w:pPr>
      <w:r>
        <w:rPr>
          <w:rFonts w:hint="eastAsia"/>
        </w:rPr>
        <w:t>GB/T 755</w:t>
      </w:r>
      <w:r>
        <w:t xml:space="preserve">  </w:t>
      </w:r>
      <w:r>
        <w:rPr>
          <w:rFonts w:hint="eastAsia"/>
        </w:rPr>
        <w:t>旋转电机  定额和性能</w:t>
      </w:r>
    </w:p>
    <w:p>
      <w:pPr>
        <w:pStyle w:val="57"/>
        <w:ind w:firstLine="420"/>
      </w:pPr>
      <w:r>
        <w:t xml:space="preserve">GB 1971  </w:t>
      </w:r>
      <w:r>
        <w:rPr>
          <w:rFonts w:hint="eastAsia"/>
        </w:rPr>
        <w:t>旋转电机  线端标志与旋转方向</w:t>
      </w:r>
    </w:p>
    <w:p>
      <w:pPr>
        <w:pStyle w:val="57"/>
        <w:ind w:firstLine="420"/>
      </w:pPr>
      <w:r>
        <w:t xml:space="preserve">GB/T 1993  </w:t>
      </w:r>
      <w:r>
        <w:rPr>
          <w:rFonts w:hint="eastAsia"/>
        </w:rPr>
        <w:t>旋转电机冷却方法</w:t>
      </w:r>
    </w:p>
    <w:p>
      <w:pPr>
        <w:pStyle w:val="57"/>
        <w:ind w:firstLine="420"/>
      </w:pPr>
      <w:r>
        <w:rPr>
          <w:szCs w:val="21"/>
        </w:rPr>
        <w:t xml:space="preserve">GB/T 2423.1  </w:t>
      </w:r>
      <w:r>
        <w:rPr>
          <w:rFonts w:hint="eastAsia"/>
          <w:szCs w:val="21"/>
        </w:rPr>
        <w:t xml:space="preserve">电工电子产品环境试验 </w:t>
      </w:r>
      <w:r>
        <w:rPr>
          <w:szCs w:val="21"/>
        </w:rPr>
        <w:t xml:space="preserve"> </w:t>
      </w:r>
      <w:r>
        <w:rPr>
          <w:rFonts w:hint="eastAsia"/>
          <w:szCs w:val="21"/>
        </w:rPr>
        <w:t xml:space="preserve">第2部分：试验方法 </w:t>
      </w:r>
      <w:r>
        <w:rPr>
          <w:szCs w:val="21"/>
        </w:rPr>
        <w:t xml:space="preserve"> </w:t>
      </w:r>
      <w:r>
        <w:rPr>
          <w:rFonts w:hint="eastAsia"/>
          <w:szCs w:val="21"/>
        </w:rPr>
        <w:t>试验A：低温</w:t>
      </w:r>
    </w:p>
    <w:p>
      <w:pPr>
        <w:pStyle w:val="57"/>
        <w:ind w:firstLine="420"/>
        <w:rPr>
          <w:bCs/>
        </w:rPr>
      </w:pPr>
      <w:r>
        <w:rPr>
          <w:szCs w:val="21"/>
        </w:rPr>
        <w:t xml:space="preserve">GB/T 2423.2  </w:t>
      </w:r>
      <w:r>
        <w:rPr>
          <w:rFonts w:hint="eastAsia"/>
          <w:szCs w:val="21"/>
        </w:rPr>
        <w:t>电工电子产品环境试验　第2部分：试验方法　试验B：高温</w:t>
      </w:r>
    </w:p>
    <w:p>
      <w:pPr>
        <w:pStyle w:val="57"/>
        <w:ind w:firstLine="420"/>
        <w:rPr>
          <w:bCs/>
        </w:rPr>
      </w:pPr>
      <w:r>
        <w:rPr>
          <w:rFonts w:hint="eastAsia"/>
          <w:bCs/>
        </w:rPr>
        <w:t>GB/T 2423.17  电工电子产品环境试验  第2部分：试验方法  试验Ka：盐雾</w:t>
      </w:r>
    </w:p>
    <w:p>
      <w:pPr>
        <w:pStyle w:val="57"/>
        <w:ind w:firstLine="420"/>
        <w:rPr>
          <w:bCs/>
        </w:rPr>
      </w:pPr>
      <w:r>
        <w:rPr>
          <w:rFonts w:hint="eastAsia"/>
          <w:bCs/>
        </w:rPr>
        <w:t>GB/T 4942</w:t>
      </w:r>
      <w:r>
        <w:rPr>
          <w:bCs/>
        </w:rPr>
        <w:t xml:space="preserve">  </w:t>
      </w:r>
      <w:r>
        <w:rPr>
          <w:rFonts w:hint="eastAsia"/>
          <w:bCs/>
        </w:rPr>
        <w:t xml:space="preserve">旋转电机整体结构的防护等级（IP代码） </w:t>
      </w:r>
      <w:r>
        <w:rPr>
          <w:bCs/>
        </w:rPr>
        <w:t xml:space="preserve"> </w:t>
      </w:r>
      <w:r>
        <w:rPr>
          <w:rFonts w:hint="eastAsia"/>
          <w:bCs/>
        </w:rPr>
        <w:t>分级</w:t>
      </w:r>
    </w:p>
    <w:p>
      <w:pPr>
        <w:pStyle w:val="57"/>
        <w:ind w:firstLine="420"/>
        <w:rPr>
          <w:bCs/>
        </w:rPr>
      </w:pPr>
      <w:r>
        <w:rPr>
          <w:bCs/>
        </w:rPr>
        <w:t xml:space="preserve">GB/T 6656  </w:t>
      </w:r>
      <w:r>
        <w:rPr>
          <w:rFonts w:hint="eastAsia"/>
          <w:bCs/>
        </w:rPr>
        <w:t>铁氧体永磁直流电动机</w:t>
      </w:r>
    </w:p>
    <w:p>
      <w:pPr>
        <w:pStyle w:val="57"/>
        <w:ind w:firstLine="420"/>
        <w:rPr>
          <w:bCs/>
        </w:rPr>
      </w:pPr>
      <w:r>
        <w:rPr>
          <w:bCs/>
        </w:rPr>
        <w:t xml:space="preserve">GB/T 5171.21  </w:t>
      </w:r>
      <w:r>
        <w:rPr>
          <w:rFonts w:hint="eastAsia"/>
          <w:bCs/>
        </w:rPr>
        <w:t>小功率电动机  第21部分：通用试验方法</w:t>
      </w:r>
    </w:p>
    <w:p>
      <w:pPr>
        <w:pStyle w:val="57"/>
        <w:ind w:firstLine="420"/>
        <w:rPr>
          <w:bCs/>
        </w:rPr>
      </w:pPr>
      <w:r>
        <w:rPr>
          <w:bCs/>
        </w:rPr>
        <w:t xml:space="preserve">GB/T 10069.1  </w:t>
      </w:r>
      <w:r>
        <w:rPr>
          <w:rFonts w:hint="eastAsia"/>
          <w:bCs/>
        </w:rPr>
        <w:t>旋转电机噪声测定方法及限值 第1部分：旋转电机噪声测定方法</w:t>
      </w:r>
    </w:p>
    <w:p>
      <w:pPr>
        <w:pStyle w:val="57"/>
        <w:ind w:firstLine="420"/>
        <w:rPr>
          <w:bCs/>
        </w:rPr>
      </w:pPr>
      <w:r>
        <w:rPr>
          <w:bCs/>
        </w:rPr>
        <w:t xml:space="preserve">GB/T 13452.2  </w:t>
      </w:r>
      <w:r>
        <w:rPr>
          <w:rFonts w:hint="eastAsia"/>
          <w:bCs/>
        </w:rPr>
        <w:t>色漆和清漆 漆膜厚度的测定</w:t>
      </w:r>
    </w:p>
    <w:p>
      <w:pPr>
        <w:pStyle w:val="57"/>
        <w:ind w:firstLine="420"/>
        <w:rPr>
          <w:bCs/>
        </w:rPr>
      </w:pPr>
      <w:r>
        <w:rPr>
          <w:rFonts w:hint="eastAsia"/>
          <w:bCs/>
        </w:rPr>
        <w:t>GB 17625.1  电磁兼容  限值  第1部分：谐波电流发射限值（设备每相输入电流≤16A）</w:t>
      </w:r>
    </w:p>
    <w:p>
      <w:pPr>
        <w:pStyle w:val="57"/>
        <w:ind w:firstLine="420"/>
        <w:rPr>
          <w:bCs/>
        </w:rPr>
      </w:pPr>
      <w:r>
        <w:rPr>
          <w:rFonts w:hint="eastAsia"/>
          <w:bCs/>
        </w:rPr>
        <w:t xml:space="preserve">GB/T 17626.1  电磁兼容 </w:t>
      </w:r>
      <w:r>
        <w:rPr>
          <w:bCs/>
        </w:rPr>
        <w:t xml:space="preserve"> </w:t>
      </w:r>
      <w:r>
        <w:rPr>
          <w:rFonts w:hint="eastAsia"/>
          <w:bCs/>
        </w:rPr>
        <w:t>试验和测量技术  抗扰度试验总论</w:t>
      </w:r>
    </w:p>
    <w:p>
      <w:pPr>
        <w:pStyle w:val="57"/>
        <w:ind w:firstLine="420"/>
        <w:rPr>
          <w:bCs/>
        </w:rPr>
      </w:pPr>
      <w:r>
        <w:rPr>
          <w:rFonts w:hint="eastAsia"/>
          <w:bCs/>
        </w:rPr>
        <w:t>GB/T 18211  微电机安全通用要求</w:t>
      </w:r>
    </w:p>
    <w:p>
      <w:pPr>
        <w:pStyle w:val="105"/>
        <w:spacing w:before="240" w:after="240"/>
      </w:pPr>
      <w:bookmarkStart w:id="76" w:name="_Toc129333954"/>
      <w:bookmarkStart w:id="77" w:name="_Toc129334001"/>
      <w:bookmarkStart w:id="78" w:name="_Toc129701644"/>
      <w:r>
        <w:rPr>
          <w:rFonts w:hint="eastAsia"/>
        </w:rPr>
        <w:t>术语和定义</w:t>
      </w:r>
      <w:bookmarkEnd w:id="69"/>
      <w:bookmarkEnd w:id="70"/>
      <w:bookmarkEnd w:id="71"/>
      <w:bookmarkEnd w:id="72"/>
      <w:bookmarkEnd w:id="73"/>
      <w:bookmarkEnd w:id="74"/>
      <w:bookmarkEnd w:id="75"/>
      <w:bookmarkEnd w:id="76"/>
      <w:bookmarkEnd w:id="77"/>
      <w:bookmarkEnd w:id="78"/>
    </w:p>
    <w:sdt>
      <w:sdtPr>
        <w:rPr>
          <w:rFonts w:hint="eastAsia"/>
        </w:rPr>
        <w:id w:val="-1909835108"/>
        <w:placeholder>
          <w:docPart w:val="D8B0446147FB4CB9BDBC19E7612FA692"/>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rPr>
          <w:rFonts w:hint="eastAsia"/>
        </w:rPr>
      </w:sdtEndPr>
      <w:sdtContent>
        <w:p>
          <w:pPr>
            <w:pStyle w:val="57"/>
            <w:ind w:firstLine="420"/>
          </w:pPr>
          <w:bookmarkStart w:id="79" w:name="_Toc26986532"/>
          <w:bookmarkEnd w:id="79"/>
          <w:r>
            <w:rPr>
              <w:rFonts w:hint="eastAsia"/>
            </w:rPr>
            <w:t>下列术语和定义适用于本文件。</w:t>
          </w:r>
        </w:p>
      </w:sdtContent>
    </w:sdt>
    <w:p>
      <w:pPr>
        <w:pStyle w:val="224"/>
        <w:ind w:left="420" w:hanging="420" w:hangingChars="200"/>
        <w:rPr>
          <w:rFonts w:ascii="黑体" w:hAnsi="黑体" w:eastAsia="黑体"/>
        </w:rPr>
      </w:pPr>
      <w:bookmarkStart w:id="80" w:name="_Toc107511271"/>
      <w:bookmarkStart w:id="81" w:name="_Toc107511366"/>
      <w:bookmarkStart w:id="82" w:name="_Toc491504933"/>
      <w:bookmarkStart w:id="83" w:name="_Toc19904"/>
      <w:bookmarkStart w:id="84" w:name="_Toc491518297"/>
      <w:bookmarkStart w:id="85" w:name="_Toc71201060"/>
      <w:bookmarkStart w:id="86" w:name="_Toc99350765"/>
      <w:bookmarkStart w:id="87" w:name="_Toc6580043"/>
      <w:bookmarkStart w:id="88" w:name="_Toc52105266"/>
      <w:r>
        <w:rPr>
          <w:rFonts w:ascii="黑体" w:hAnsi="黑体" w:eastAsia="黑体"/>
        </w:rPr>
        <w:br w:type="textWrapping"/>
      </w:r>
      <w:r>
        <w:rPr>
          <w:rFonts w:hint="eastAsia" w:ascii="黑体" w:hAnsi="黑体" w:eastAsia="黑体"/>
        </w:rPr>
        <w:t xml:space="preserve">智能家居 </w:t>
      </w:r>
      <w:r>
        <w:rPr>
          <w:rFonts w:ascii="黑体" w:hAnsi="黑体" w:eastAsia="黑体"/>
        </w:rPr>
        <w:t xml:space="preserve"> </w:t>
      </w:r>
      <w:r>
        <w:rPr>
          <w:rFonts w:hint="eastAsia" w:ascii="黑体" w:hAnsi="黑体" w:eastAsia="黑体"/>
        </w:rPr>
        <w:t>i</w:t>
      </w:r>
      <w:r>
        <w:rPr>
          <w:rFonts w:ascii="黑体" w:hAnsi="黑体" w:eastAsia="黑体"/>
        </w:rPr>
        <w:t xml:space="preserve">ntelligent </w:t>
      </w:r>
      <w:r>
        <w:rPr>
          <w:rFonts w:hint="eastAsia" w:ascii="黑体" w:hAnsi="黑体" w:eastAsia="黑体"/>
        </w:rPr>
        <w:t xml:space="preserve"> home</w:t>
      </w:r>
    </w:p>
    <w:p>
      <w:pPr>
        <w:pStyle w:val="57"/>
        <w:ind w:firstLine="420"/>
      </w:pPr>
      <w:r>
        <w:rPr>
          <w:rFonts w:hint="eastAsia"/>
        </w:rPr>
        <w:t>采用智能产品和技术实现安全、健康、节能、环保舒适便利等功能的生活模式。</w:t>
      </w:r>
    </w:p>
    <w:p>
      <w:pPr>
        <w:pStyle w:val="105"/>
        <w:spacing w:before="240" w:after="240"/>
      </w:pPr>
      <w:bookmarkStart w:id="89" w:name="_Toc129701645"/>
      <w:bookmarkStart w:id="90" w:name="_Toc129334002"/>
      <w:bookmarkStart w:id="91" w:name="_Toc129333955"/>
      <w:r>
        <w:rPr>
          <w:rFonts w:hint="eastAsia"/>
        </w:rPr>
        <w:t>基本要求</w:t>
      </w:r>
      <w:bookmarkEnd w:id="89"/>
      <w:bookmarkEnd w:id="90"/>
      <w:bookmarkEnd w:id="91"/>
    </w:p>
    <w:p>
      <w:pPr>
        <w:pStyle w:val="106"/>
        <w:spacing w:before="120" w:after="120"/>
      </w:pPr>
      <w:bookmarkStart w:id="92" w:name="_Toc129333956"/>
      <w:r>
        <w:rPr>
          <w:rFonts w:hint="eastAsia"/>
        </w:rPr>
        <w:t>基本参数</w:t>
      </w:r>
      <w:bookmarkEnd w:id="92"/>
    </w:p>
    <w:p>
      <w:pPr>
        <w:pStyle w:val="57"/>
        <w:ind w:firstLine="199" w:firstLineChars="95"/>
      </w:pPr>
      <w:r>
        <w:rPr>
          <w:rFonts w:hint="eastAsia"/>
        </w:rPr>
        <w:t>电动机的基本参数见表1。</w:t>
      </w:r>
    </w:p>
    <w:p>
      <w:pPr>
        <w:pStyle w:val="113"/>
        <w:spacing w:before="120" w:after="120"/>
        <w:ind w:left="0"/>
      </w:pPr>
      <w:r>
        <w:rPr>
          <w:rFonts w:hint="eastAsia"/>
        </w:rPr>
        <w:t>基本参数</w:t>
      </w:r>
    </w:p>
    <w:tbl>
      <w:tblPr>
        <w:tblStyle w:val="2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3120"/>
        <w:gridCol w:w="3126"/>
        <w:gridCol w:w="312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blHeader/>
          <w:jc w:val="center"/>
        </w:trPr>
        <w:tc>
          <w:tcPr>
            <w:tcW w:w="3190" w:type="dxa"/>
            <w:tcBorders>
              <w:top w:val="single" w:color="auto" w:sz="8" w:space="0"/>
              <w:bottom w:val="single" w:color="auto" w:sz="8" w:space="0"/>
            </w:tcBorders>
            <w:shd w:val="clear" w:color="auto" w:fill="auto"/>
            <w:vAlign w:val="center"/>
          </w:tcPr>
          <w:p>
            <w:pPr>
              <w:pStyle w:val="179"/>
            </w:pPr>
            <w:r>
              <w:rPr>
                <w:rFonts w:hint="eastAsia"/>
              </w:rPr>
              <w:t>项目</w:t>
            </w:r>
          </w:p>
        </w:tc>
        <w:tc>
          <w:tcPr>
            <w:tcW w:w="3190" w:type="dxa"/>
            <w:tcBorders>
              <w:top w:val="single" w:color="auto" w:sz="8" w:space="0"/>
              <w:bottom w:val="single" w:color="auto" w:sz="8" w:space="0"/>
            </w:tcBorders>
            <w:shd w:val="clear" w:color="auto" w:fill="auto"/>
            <w:vAlign w:val="center"/>
          </w:tcPr>
          <w:p>
            <w:pPr>
              <w:pStyle w:val="179"/>
            </w:pPr>
            <w:r>
              <w:rPr>
                <w:rFonts w:hint="eastAsia"/>
              </w:rPr>
              <w:t>单位</w:t>
            </w:r>
          </w:p>
        </w:tc>
        <w:tc>
          <w:tcPr>
            <w:tcW w:w="3190" w:type="dxa"/>
            <w:tcBorders>
              <w:top w:val="single" w:color="auto" w:sz="8" w:space="0"/>
              <w:bottom w:val="single" w:color="auto" w:sz="8" w:space="0"/>
            </w:tcBorders>
            <w:shd w:val="clear" w:color="auto" w:fill="auto"/>
            <w:vAlign w:val="center"/>
          </w:tcPr>
          <w:p>
            <w:pPr>
              <w:pStyle w:val="179"/>
            </w:pPr>
            <w:r>
              <w:rPr>
                <w:rFonts w:hint="eastAsia"/>
              </w:rPr>
              <w:t>参数范围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190" w:type="dxa"/>
            <w:tcBorders>
              <w:top w:val="single" w:color="auto" w:sz="8" w:space="0"/>
            </w:tcBorders>
            <w:shd w:val="clear" w:color="auto" w:fill="auto"/>
            <w:vAlign w:val="center"/>
          </w:tcPr>
          <w:p>
            <w:pPr>
              <w:pStyle w:val="179"/>
            </w:pPr>
            <w:r>
              <w:rPr>
                <w:rFonts w:hint="eastAsia"/>
              </w:rPr>
              <w:t>电压</w:t>
            </w:r>
          </w:p>
        </w:tc>
        <w:tc>
          <w:tcPr>
            <w:tcW w:w="3190" w:type="dxa"/>
            <w:tcBorders>
              <w:top w:val="single" w:color="auto" w:sz="8" w:space="0"/>
            </w:tcBorders>
            <w:shd w:val="clear" w:color="auto" w:fill="auto"/>
            <w:vAlign w:val="center"/>
          </w:tcPr>
          <w:p>
            <w:pPr>
              <w:pStyle w:val="179"/>
            </w:pPr>
            <w:r>
              <w:rPr>
                <w:rFonts w:hint="eastAsia"/>
              </w:rPr>
              <w:t>V</w:t>
            </w:r>
          </w:p>
        </w:tc>
        <w:tc>
          <w:tcPr>
            <w:tcW w:w="3190" w:type="dxa"/>
            <w:tcBorders>
              <w:top w:val="single" w:color="auto" w:sz="8" w:space="0"/>
            </w:tcBorders>
            <w:shd w:val="clear" w:color="auto" w:fill="auto"/>
            <w:vAlign w:val="center"/>
          </w:tcPr>
          <w:p>
            <w:pPr>
              <w:pStyle w:val="179"/>
            </w:pPr>
            <w:r>
              <w:rPr>
                <w:rFonts w:hint="eastAsia"/>
              </w:rPr>
              <w:t>1</w:t>
            </w:r>
            <w:r>
              <w:t>2</w:t>
            </w:r>
            <w:r>
              <w:rPr>
                <w:rFonts w:hint="eastAsia" w:hAnsi="宋体"/>
              </w:rPr>
              <w:t>～</w:t>
            </w:r>
            <w:r>
              <w:t>36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190" w:type="dxa"/>
            <w:shd w:val="clear" w:color="auto" w:fill="auto"/>
            <w:vAlign w:val="center"/>
          </w:tcPr>
          <w:p>
            <w:pPr>
              <w:pStyle w:val="179"/>
            </w:pPr>
            <w:r>
              <w:rPr>
                <w:rFonts w:hint="eastAsia"/>
              </w:rPr>
              <w:t>输出功率</w:t>
            </w:r>
          </w:p>
        </w:tc>
        <w:tc>
          <w:tcPr>
            <w:tcW w:w="3190" w:type="dxa"/>
            <w:shd w:val="clear" w:color="auto" w:fill="auto"/>
            <w:vAlign w:val="center"/>
          </w:tcPr>
          <w:p>
            <w:pPr>
              <w:pStyle w:val="179"/>
            </w:pPr>
            <w:r>
              <w:rPr>
                <w:rFonts w:hint="eastAsia"/>
              </w:rPr>
              <w:t>W</w:t>
            </w:r>
          </w:p>
        </w:tc>
        <w:tc>
          <w:tcPr>
            <w:tcW w:w="3190" w:type="dxa"/>
            <w:shd w:val="clear" w:color="auto" w:fill="auto"/>
            <w:vAlign w:val="center"/>
          </w:tcPr>
          <w:p>
            <w:pPr>
              <w:pStyle w:val="179"/>
            </w:pPr>
            <w:r>
              <w:t>35</w:t>
            </w:r>
            <w:r>
              <w:rPr>
                <w:rFonts w:hint="eastAsia" w:hAnsi="宋体"/>
              </w:rPr>
              <w:t>～</w:t>
            </w:r>
            <w:r>
              <w:t>200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3190" w:type="dxa"/>
            <w:shd w:val="clear" w:color="auto" w:fill="auto"/>
            <w:vAlign w:val="center"/>
          </w:tcPr>
          <w:p>
            <w:pPr>
              <w:pStyle w:val="179"/>
            </w:pPr>
            <w:r>
              <w:rPr>
                <w:rFonts w:hint="eastAsia"/>
              </w:rPr>
              <w:t>转速</w:t>
            </w:r>
          </w:p>
        </w:tc>
        <w:tc>
          <w:tcPr>
            <w:tcW w:w="3190" w:type="dxa"/>
            <w:shd w:val="clear" w:color="auto" w:fill="auto"/>
            <w:vAlign w:val="center"/>
          </w:tcPr>
          <w:p>
            <w:pPr>
              <w:pStyle w:val="179"/>
            </w:pPr>
            <w:r>
              <w:rPr>
                <w:rFonts w:hint="eastAsia"/>
              </w:rPr>
              <w:t>r</w:t>
            </w:r>
            <w:r>
              <w:t>/</w:t>
            </w:r>
            <w:r>
              <w:rPr>
                <w:rFonts w:hint="eastAsia"/>
              </w:rPr>
              <w:t>min</w:t>
            </w:r>
          </w:p>
        </w:tc>
        <w:tc>
          <w:tcPr>
            <w:tcW w:w="3190" w:type="dxa"/>
            <w:shd w:val="clear" w:color="auto" w:fill="auto"/>
            <w:vAlign w:val="center"/>
          </w:tcPr>
          <w:p>
            <w:pPr>
              <w:pStyle w:val="179"/>
            </w:pPr>
            <w:r>
              <w:t>2000</w:t>
            </w:r>
            <w:r>
              <w:rPr>
                <w:rFonts w:hint="eastAsia" w:hAnsi="宋体"/>
              </w:rPr>
              <w:t>～</w:t>
            </w:r>
            <w:r>
              <w:t>6000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3" w:hRule="atLeast"/>
          <w:jc w:val="center"/>
        </w:trPr>
        <w:tc>
          <w:tcPr>
            <w:tcW w:w="3190" w:type="dxa"/>
            <w:shd w:val="clear" w:color="auto" w:fill="auto"/>
            <w:vAlign w:val="center"/>
          </w:tcPr>
          <w:p>
            <w:pPr>
              <w:pStyle w:val="179"/>
            </w:pPr>
            <w:r>
              <w:rPr>
                <w:rFonts w:hint="eastAsia" w:cs="宋体"/>
                <w:szCs w:val="18"/>
              </w:rPr>
              <w:t>额定转矩</w:t>
            </w:r>
          </w:p>
        </w:tc>
        <w:tc>
          <w:tcPr>
            <w:tcW w:w="3190" w:type="dxa"/>
            <w:shd w:val="clear" w:color="auto" w:fill="auto"/>
            <w:vAlign w:val="center"/>
          </w:tcPr>
          <w:p>
            <w:pPr>
              <w:pStyle w:val="179"/>
            </w:pPr>
            <w:r>
              <w:rPr>
                <w:rFonts w:cs="宋体"/>
                <w:szCs w:val="18"/>
              </w:rPr>
              <w:t>N.m</w:t>
            </w:r>
          </w:p>
        </w:tc>
        <w:tc>
          <w:tcPr>
            <w:tcW w:w="3190" w:type="dxa"/>
            <w:shd w:val="clear" w:color="auto" w:fill="auto"/>
            <w:vAlign w:val="center"/>
          </w:tcPr>
          <w:p>
            <w:pPr>
              <w:pStyle w:val="179"/>
            </w:pPr>
            <w:r>
              <w:rPr>
                <w:rFonts w:hAnsi="宋体"/>
              </w:rPr>
              <w:t>0.1</w:t>
            </w:r>
            <w:r>
              <w:rPr>
                <w:rFonts w:hint="eastAsia" w:hAnsi="宋体"/>
              </w:rPr>
              <w:t>～</w:t>
            </w:r>
            <w:r>
              <w:rPr>
                <w:rFonts w:hAnsi="宋体"/>
              </w:rPr>
              <w:t>1.5</w:t>
            </w:r>
          </w:p>
        </w:tc>
      </w:tr>
    </w:tbl>
    <w:p>
      <w:pPr>
        <w:pStyle w:val="106"/>
        <w:spacing w:before="120" w:after="120"/>
      </w:pPr>
      <w:bookmarkStart w:id="93" w:name="_Toc129333957"/>
      <w:r>
        <w:rPr>
          <w:rFonts w:hint="eastAsia"/>
        </w:rPr>
        <w:t>安装型式</w:t>
      </w:r>
      <w:bookmarkEnd w:id="93"/>
    </w:p>
    <w:p>
      <w:pPr>
        <w:pStyle w:val="57"/>
        <w:ind w:firstLine="420"/>
      </w:pPr>
      <w:r>
        <w:rPr>
          <w:rFonts w:hint="eastAsia"/>
        </w:rPr>
        <w:t>电动机采用螺丝固定模式安装。</w:t>
      </w:r>
    </w:p>
    <w:p>
      <w:pPr>
        <w:pStyle w:val="106"/>
        <w:spacing w:before="120" w:after="120"/>
      </w:pPr>
      <w:bookmarkStart w:id="94" w:name="_Toc129333958"/>
      <w:r>
        <w:rPr>
          <w:rFonts w:hint="eastAsia"/>
        </w:rPr>
        <w:t>防护等级</w:t>
      </w:r>
      <w:bookmarkEnd w:id="94"/>
    </w:p>
    <w:p>
      <w:pPr>
        <w:pStyle w:val="57"/>
        <w:ind w:firstLine="420"/>
      </w:pPr>
      <w:r>
        <w:rPr>
          <w:rFonts w:hint="eastAsia"/>
        </w:rPr>
        <w:t>电动机外壳防护符合</w:t>
      </w:r>
      <w:r>
        <w:t>GB/T 4942</w:t>
      </w:r>
      <w:r>
        <w:rPr>
          <w:rFonts w:hint="eastAsia"/>
        </w:rPr>
        <w:t>的规定，外壳防护等级为</w:t>
      </w:r>
      <w:r>
        <w:t>IP20</w:t>
      </w:r>
      <w:r>
        <w:rPr>
          <w:rFonts w:hint="eastAsia"/>
        </w:rPr>
        <w:t>及以上。</w:t>
      </w:r>
    </w:p>
    <w:p>
      <w:pPr>
        <w:pStyle w:val="106"/>
        <w:spacing w:before="120" w:after="120"/>
      </w:pPr>
      <w:bookmarkStart w:id="95" w:name="_Toc129333959"/>
      <w:r>
        <w:rPr>
          <w:rFonts w:hint="eastAsia"/>
        </w:rPr>
        <w:t>冷却方式</w:t>
      </w:r>
      <w:bookmarkEnd w:id="95"/>
    </w:p>
    <w:p>
      <w:pPr>
        <w:pStyle w:val="57"/>
        <w:ind w:firstLine="420"/>
        <w:rPr>
          <w:rFonts w:ascii="黑体" w:eastAsia="黑体" w:cs="黑体"/>
        </w:rPr>
      </w:pPr>
      <w:r>
        <w:rPr>
          <w:rFonts w:hint="eastAsia"/>
        </w:rPr>
        <w:t>电动机的冷却方式应符合</w:t>
      </w:r>
      <w:r>
        <w:t>GB/T 1993</w:t>
      </w:r>
      <w:r>
        <w:rPr>
          <w:rFonts w:hint="eastAsia"/>
        </w:rPr>
        <w:t>的规定，冷却方式为</w:t>
      </w:r>
      <w:r>
        <w:t>IC410</w:t>
      </w:r>
      <w:r>
        <w:rPr>
          <w:rFonts w:hint="eastAsia"/>
        </w:rPr>
        <w:t>。</w:t>
      </w:r>
    </w:p>
    <w:p>
      <w:pPr>
        <w:pStyle w:val="106"/>
        <w:spacing w:before="120" w:after="120"/>
      </w:pPr>
      <w:bookmarkStart w:id="96" w:name="_Toc129333960"/>
      <w:r>
        <w:rPr>
          <w:rFonts w:hint="eastAsia"/>
        </w:rPr>
        <w:t>绝缘等级</w:t>
      </w:r>
      <w:bookmarkEnd w:id="96"/>
    </w:p>
    <w:p>
      <w:pPr>
        <w:pStyle w:val="57"/>
        <w:ind w:firstLine="420"/>
      </w:pPr>
      <w:r>
        <w:rPr>
          <w:rFonts w:hint="eastAsia"/>
        </w:rPr>
        <w:t>电动机绝缘等级应符合</w:t>
      </w:r>
      <w:r>
        <w:t>GB/T 755</w:t>
      </w:r>
      <w:r>
        <w:rPr>
          <w:rFonts w:hint="eastAsia"/>
        </w:rPr>
        <w:t>－</w:t>
      </w:r>
      <w:r>
        <w:t>2019</w:t>
      </w:r>
      <w:r>
        <w:rPr>
          <w:rFonts w:hint="eastAsia"/>
        </w:rPr>
        <w:t>第</w:t>
      </w:r>
      <w:r>
        <w:t>5</w:t>
      </w:r>
      <w:r>
        <w:rPr>
          <w:rFonts w:hint="eastAsia"/>
        </w:rPr>
        <w:t>章规定，绝缘等级为B级及以上。</w:t>
      </w:r>
    </w:p>
    <w:p>
      <w:pPr>
        <w:pStyle w:val="106"/>
        <w:spacing w:before="120" w:after="120"/>
      </w:pPr>
      <w:bookmarkStart w:id="97" w:name="_Toc129333961"/>
      <w:r>
        <w:rPr>
          <w:rFonts w:hint="eastAsia"/>
        </w:rPr>
        <w:t>型号命名</w:t>
      </w:r>
      <w:bookmarkEnd w:id="97"/>
    </w:p>
    <w:p>
      <w:pPr>
        <w:pStyle w:val="57"/>
        <w:ind w:firstLine="420"/>
      </w:pPr>
      <w:r>
        <w:rPr>
          <w:rFonts w:hint="eastAsia"/>
        </w:rPr>
        <w:t>电动机型号命名中包括企业字母代号、额定功率等特征参数。</w:t>
      </w:r>
    </w:p>
    <w:p>
      <w:pPr>
        <w:pStyle w:val="106"/>
        <w:spacing w:before="120" w:after="120"/>
      </w:pPr>
      <w:bookmarkStart w:id="98" w:name="_Toc129333962"/>
      <w:r>
        <w:rPr>
          <w:rFonts w:hint="eastAsia"/>
        </w:rPr>
        <w:t>使用环境条件</w:t>
      </w:r>
      <w:bookmarkEnd w:id="98"/>
    </w:p>
    <w:p>
      <w:pPr>
        <w:pStyle w:val="166"/>
      </w:pPr>
      <w:r>
        <w:rPr>
          <w:rFonts w:hint="eastAsia"/>
        </w:rPr>
        <w:t>环境空气最高温度应不超过5</w:t>
      </w:r>
      <w:r>
        <w:t xml:space="preserve">0 </w:t>
      </w:r>
      <w:r>
        <w:rPr>
          <w:rFonts w:hint="eastAsia"/>
        </w:rPr>
        <w:t>℃；最低温度应不低于-</w:t>
      </w:r>
      <w:r>
        <w:t>20</w:t>
      </w:r>
      <w:r>
        <w:rPr>
          <w:rFonts w:hint="eastAsia"/>
        </w:rPr>
        <w:t>℃。</w:t>
      </w:r>
    </w:p>
    <w:p>
      <w:pPr>
        <w:pStyle w:val="166"/>
      </w:pPr>
      <w:r>
        <w:rPr>
          <w:rFonts w:hint="eastAsia"/>
        </w:rPr>
        <w:t>运行地点的境空气相对湿度：3</w:t>
      </w:r>
      <w:r>
        <w:t>0%</w:t>
      </w:r>
      <w:r>
        <w:rPr>
          <w:rFonts w:hint="eastAsia"/>
        </w:rPr>
        <w:t>～7</w:t>
      </w:r>
      <w:r>
        <w:t>5%</w:t>
      </w:r>
      <w:r>
        <w:rPr>
          <w:rFonts w:hint="eastAsia"/>
        </w:rPr>
        <w:t>。在该环境空气相对湿度下，电动机经长时间停机后，应能安全投入运行。</w:t>
      </w:r>
    </w:p>
    <w:p>
      <w:pPr>
        <w:pStyle w:val="180"/>
        <w:rPr>
          <w:rFonts w:hAnsi="黑体"/>
        </w:rPr>
      </w:pPr>
      <w:r>
        <w:rPr>
          <w:rFonts w:hint="eastAsia"/>
        </w:rPr>
        <w:t>环境运行条件偏差按照</w:t>
      </w:r>
      <w:r>
        <w:t>GB/T 755</w:t>
      </w:r>
      <w:r>
        <w:rPr>
          <w:rFonts w:hint="eastAsia"/>
        </w:rPr>
        <w:t>修正。</w:t>
      </w:r>
    </w:p>
    <w:bookmarkEnd w:id="80"/>
    <w:bookmarkEnd w:id="81"/>
    <w:p>
      <w:pPr>
        <w:pStyle w:val="105"/>
        <w:spacing w:before="240" w:after="240"/>
      </w:pPr>
      <w:bookmarkStart w:id="99" w:name="_Toc107511367"/>
      <w:bookmarkStart w:id="100" w:name="_Toc107511272"/>
      <w:bookmarkStart w:id="101" w:name="_Toc112076701"/>
      <w:bookmarkStart w:id="102" w:name="_Toc129333963"/>
      <w:bookmarkStart w:id="103" w:name="_Toc112912939"/>
      <w:bookmarkStart w:id="104" w:name="_Toc129334003"/>
      <w:bookmarkStart w:id="105" w:name="_Toc129701646"/>
      <w:r>
        <w:rPr>
          <w:rFonts w:hint="eastAsia"/>
        </w:rPr>
        <w:t>技术要求</w:t>
      </w:r>
      <w:bookmarkEnd w:id="99"/>
      <w:bookmarkEnd w:id="100"/>
      <w:bookmarkEnd w:id="101"/>
      <w:bookmarkEnd w:id="102"/>
      <w:bookmarkEnd w:id="103"/>
      <w:bookmarkEnd w:id="104"/>
      <w:bookmarkEnd w:id="105"/>
    </w:p>
    <w:p>
      <w:pPr>
        <w:pStyle w:val="106"/>
        <w:spacing w:before="120" w:after="120"/>
      </w:pPr>
      <w:bookmarkStart w:id="106" w:name="_Toc129333964"/>
      <w:bookmarkStart w:id="107" w:name="_Toc104912439"/>
      <w:bookmarkStart w:id="108" w:name="_Toc105405824"/>
      <w:r>
        <w:rPr>
          <w:rFonts w:hint="eastAsia"/>
        </w:rPr>
        <w:t>外观与结构</w:t>
      </w:r>
      <w:bookmarkEnd w:id="106"/>
      <w:bookmarkEnd w:id="107"/>
      <w:bookmarkEnd w:id="108"/>
    </w:p>
    <w:p>
      <w:pPr>
        <w:pStyle w:val="166"/>
      </w:pPr>
      <w:r>
        <w:rPr>
          <w:rFonts w:hint="eastAsia"/>
        </w:rPr>
        <w:t>电动机表面不应有锈蚀、碰伤、划痕，涂覆层不应有脱落。紧固件连接应牢固，引出线或接线端子应完整无损，铭牌应清晰、耐磨。</w:t>
      </w:r>
    </w:p>
    <w:p>
      <w:pPr>
        <w:pStyle w:val="166"/>
      </w:pPr>
      <w:r>
        <w:rPr>
          <w:rFonts w:hint="eastAsia"/>
          <w:szCs w:val="21"/>
        </w:rPr>
        <w:t>电动机</w:t>
      </w:r>
      <w:r>
        <w:rPr>
          <w:rFonts w:hint="eastAsia"/>
        </w:rPr>
        <w:t>装配后，空载和负载运转应平稳、声音无异常。</w:t>
      </w:r>
    </w:p>
    <w:p>
      <w:pPr>
        <w:pStyle w:val="166"/>
      </w:pPr>
      <w:r>
        <w:rPr>
          <w:rFonts w:hint="eastAsia" w:hAnsi="Calibri" w:cs="宋体"/>
          <w:szCs w:val="21"/>
        </w:rPr>
        <w:t>电动机</w:t>
      </w:r>
      <w:r>
        <w:rPr>
          <w:rFonts w:hint="eastAsia"/>
        </w:rPr>
        <w:t>表面涂层厚度应大于</w:t>
      </w:r>
      <w:r>
        <w:t>50</w:t>
      </w:r>
      <w:r>
        <w:rPr>
          <w:rFonts w:hint="eastAsia"/>
        </w:rPr>
        <w:t xml:space="preserve"> μ</w:t>
      </w:r>
      <w:r>
        <w:t>m</w:t>
      </w:r>
      <w:r>
        <w:rPr>
          <w:rFonts w:hint="eastAsia"/>
        </w:rPr>
        <w:t>。</w:t>
      </w:r>
    </w:p>
    <w:p>
      <w:pPr>
        <w:pStyle w:val="106"/>
        <w:spacing w:before="120" w:after="120"/>
      </w:pPr>
      <w:bookmarkStart w:id="109" w:name="_Toc129333965"/>
      <w:r>
        <w:rPr>
          <w:rFonts w:hint="eastAsia"/>
        </w:rPr>
        <w:t>轴向间隙</w:t>
      </w:r>
      <w:bookmarkEnd w:id="109"/>
    </w:p>
    <w:p>
      <w:pPr>
        <w:pStyle w:val="57"/>
        <w:ind w:firstLine="420"/>
      </w:pPr>
      <w:r>
        <w:rPr>
          <w:rFonts w:hint="eastAsia" w:hAnsi="Calibri" w:cs="宋体"/>
          <w:szCs w:val="21"/>
        </w:rPr>
        <w:t>电动机的出轴轴向间隙应小于</w:t>
      </w:r>
      <w:r>
        <w:rPr>
          <w:rFonts w:hAnsi="Calibri" w:cs="宋体"/>
          <w:szCs w:val="21"/>
        </w:rPr>
        <w:t>0.</w:t>
      </w:r>
      <w:r>
        <w:rPr>
          <w:rFonts w:hint="eastAsia" w:hAnsi="Calibri" w:cs="宋体"/>
          <w:szCs w:val="21"/>
        </w:rPr>
        <w:t>1</w:t>
      </w:r>
      <w:r>
        <w:rPr>
          <w:rFonts w:hAnsi="Calibri" w:cs="宋体"/>
          <w:szCs w:val="21"/>
        </w:rPr>
        <w:t xml:space="preserve"> mm</w:t>
      </w:r>
    </w:p>
    <w:p>
      <w:pPr>
        <w:pStyle w:val="106"/>
        <w:spacing w:before="120" w:after="120"/>
      </w:pPr>
      <w:bookmarkStart w:id="110" w:name="_Toc129333966"/>
      <w:r>
        <w:rPr>
          <w:rFonts w:hint="eastAsia"/>
        </w:rPr>
        <w:t>旋转方向</w:t>
      </w:r>
      <w:bookmarkEnd w:id="110"/>
    </w:p>
    <w:p>
      <w:pPr>
        <w:pStyle w:val="57"/>
        <w:ind w:firstLine="420"/>
        <w:rPr>
          <w:szCs w:val="21"/>
        </w:rPr>
      </w:pPr>
      <w:r>
        <w:rPr>
          <w:rFonts w:hint="eastAsia"/>
          <w:szCs w:val="21"/>
        </w:rPr>
        <w:t>电动机的线端标志与旋转方向应符合</w:t>
      </w:r>
      <w:r>
        <w:rPr>
          <w:szCs w:val="21"/>
        </w:rPr>
        <w:t>GB 1971</w:t>
      </w:r>
      <w:r>
        <w:rPr>
          <w:rFonts w:hint="eastAsia"/>
          <w:szCs w:val="21"/>
        </w:rPr>
        <w:t>的规定，双方向旋转。</w:t>
      </w:r>
    </w:p>
    <w:p>
      <w:pPr>
        <w:pStyle w:val="106"/>
        <w:spacing w:before="120" w:after="120"/>
      </w:pPr>
      <w:bookmarkStart w:id="111" w:name="_Toc129333967"/>
      <w:r>
        <w:rPr>
          <w:rFonts w:hint="eastAsia"/>
        </w:rPr>
        <w:t>转速精度</w:t>
      </w:r>
      <w:bookmarkEnd w:id="111"/>
    </w:p>
    <w:p>
      <w:pPr>
        <w:pStyle w:val="57"/>
        <w:ind w:firstLine="420"/>
        <w:rPr>
          <w:rFonts w:hAnsi="Calibri" w:cs="宋体"/>
          <w:szCs w:val="21"/>
        </w:rPr>
      </w:pPr>
      <w:r>
        <w:rPr>
          <w:rFonts w:hint="eastAsia" w:hAnsi="Calibri" w:cs="宋体"/>
          <w:szCs w:val="21"/>
        </w:rPr>
        <w:t>电动机空载运行时，正、反转空载转速偏差不超过±</w:t>
      </w:r>
      <w:r>
        <w:rPr>
          <w:rFonts w:hAnsi="Calibri" w:cs="宋体"/>
          <w:szCs w:val="21"/>
        </w:rPr>
        <w:t>10%</w:t>
      </w:r>
      <w:r>
        <w:rPr>
          <w:rFonts w:hint="eastAsia" w:hAnsi="Calibri" w:cs="宋体"/>
          <w:szCs w:val="21"/>
        </w:rPr>
        <w:t>。</w:t>
      </w:r>
    </w:p>
    <w:p>
      <w:pPr>
        <w:pStyle w:val="106"/>
        <w:spacing w:before="120" w:after="120"/>
      </w:pPr>
      <w:bookmarkStart w:id="112" w:name="_Toc129333968"/>
      <w:r>
        <w:rPr>
          <w:rFonts w:hint="eastAsia"/>
        </w:rPr>
        <w:t>过载能力</w:t>
      </w:r>
      <w:bookmarkEnd w:id="112"/>
    </w:p>
    <w:p>
      <w:pPr>
        <w:pStyle w:val="57"/>
        <w:ind w:firstLine="420"/>
      </w:pPr>
      <w:r>
        <w:rPr>
          <w:rFonts w:hint="eastAsia"/>
        </w:rPr>
        <w:t>电动机的过载能力应不低于1</w:t>
      </w:r>
      <w:r>
        <w:t>.6</w:t>
      </w:r>
      <w:r>
        <w:rPr>
          <w:rFonts w:hint="eastAsia"/>
        </w:rPr>
        <w:t>倍的额定转矩。</w:t>
      </w:r>
    </w:p>
    <w:p>
      <w:pPr>
        <w:pStyle w:val="106"/>
        <w:spacing w:before="120" w:after="120"/>
        <w:rPr>
          <w:rFonts w:ascii="宋体" w:cs="宋体"/>
        </w:rPr>
      </w:pPr>
      <w:bookmarkStart w:id="113" w:name="_Toc129333969"/>
      <w:r>
        <w:rPr>
          <w:rFonts w:hint="eastAsia"/>
        </w:rPr>
        <w:t>电机效率</w:t>
      </w:r>
      <w:bookmarkEnd w:id="113"/>
    </w:p>
    <w:p>
      <w:pPr>
        <w:pStyle w:val="57"/>
        <w:ind w:firstLine="420"/>
        <w:rPr>
          <w:rFonts w:hAnsi="Calibri" w:cs="宋体"/>
          <w:szCs w:val="21"/>
        </w:rPr>
      </w:pPr>
      <w:r>
        <w:rPr>
          <w:rFonts w:hint="eastAsia" w:hAnsi="Calibri" w:cs="宋体"/>
          <w:szCs w:val="21"/>
        </w:rPr>
        <w:t>电动机的效率应不小于5</w:t>
      </w:r>
      <w:r>
        <w:rPr>
          <w:rFonts w:hAnsi="Calibri" w:cs="宋体"/>
          <w:szCs w:val="21"/>
        </w:rPr>
        <w:t>5%</w:t>
      </w:r>
      <w:r>
        <w:rPr>
          <w:rFonts w:hint="eastAsia" w:hAnsi="Calibri" w:cs="宋体"/>
          <w:szCs w:val="21"/>
        </w:rPr>
        <w:t>。</w:t>
      </w:r>
    </w:p>
    <w:p>
      <w:pPr>
        <w:pStyle w:val="106"/>
        <w:spacing w:before="120" w:after="120"/>
      </w:pPr>
      <w:bookmarkStart w:id="114" w:name="_Toc129333970"/>
      <w:r>
        <w:rPr>
          <w:rFonts w:hint="eastAsia"/>
        </w:rPr>
        <w:t>电气安全</w:t>
      </w:r>
      <w:bookmarkEnd w:id="114"/>
    </w:p>
    <w:p>
      <w:pPr>
        <w:pStyle w:val="57"/>
        <w:ind w:firstLine="420"/>
      </w:pPr>
      <w:r>
        <w:rPr>
          <w:rFonts w:hint="eastAsia"/>
        </w:rPr>
        <w:t>电动机的电气安全性能应符合</w:t>
      </w:r>
      <w:r>
        <w:t xml:space="preserve">GB/T </w:t>
      </w:r>
      <w:r>
        <w:rPr>
          <w:rFonts w:hint="eastAsia"/>
          <w:bCs/>
        </w:rPr>
        <w:t>18211</w:t>
      </w:r>
      <w:r>
        <w:rPr>
          <w:rFonts w:hint="eastAsia"/>
        </w:rPr>
        <w:t>规定。</w:t>
      </w:r>
    </w:p>
    <w:p>
      <w:pPr>
        <w:pStyle w:val="106"/>
        <w:spacing w:before="120" w:after="120"/>
      </w:pPr>
      <w:bookmarkStart w:id="115" w:name="_Toc129333971"/>
      <w:r>
        <w:rPr>
          <w:rFonts w:hint="eastAsia"/>
        </w:rPr>
        <w:t>噪声</w:t>
      </w:r>
      <w:bookmarkEnd w:id="115"/>
    </w:p>
    <w:p>
      <w:pPr>
        <w:pStyle w:val="57"/>
        <w:ind w:firstLine="420"/>
        <w:rPr>
          <w:szCs w:val="21"/>
        </w:rPr>
      </w:pPr>
      <w:r>
        <w:rPr>
          <w:rFonts w:hint="eastAsia"/>
          <w:szCs w:val="21"/>
        </w:rPr>
        <w:t>电动机在额定电压下，其空载噪声声压级应不大于4</w:t>
      </w:r>
      <w:r>
        <w:rPr>
          <w:szCs w:val="21"/>
        </w:rPr>
        <w:t>8</w:t>
      </w:r>
      <w:r>
        <w:rPr>
          <w:rFonts w:hint="eastAsia"/>
          <w:szCs w:val="21"/>
        </w:rPr>
        <w:t xml:space="preserve"> </w:t>
      </w:r>
      <w:r>
        <w:rPr>
          <w:szCs w:val="21"/>
        </w:rPr>
        <w:t>dB</w:t>
      </w:r>
      <w:r>
        <w:rPr>
          <w:rFonts w:hint="eastAsia"/>
          <w:szCs w:val="21"/>
        </w:rPr>
        <w:t>（</w:t>
      </w:r>
      <w:r>
        <w:rPr>
          <w:szCs w:val="21"/>
        </w:rPr>
        <w:t>A</w:t>
      </w:r>
      <w:r>
        <w:rPr>
          <w:rFonts w:hint="eastAsia"/>
          <w:szCs w:val="21"/>
        </w:rPr>
        <w:t>）</w:t>
      </w:r>
    </w:p>
    <w:p>
      <w:pPr>
        <w:pStyle w:val="106"/>
        <w:spacing w:before="120" w:after="120"/>
      </w:pPr>
      <w:bookmarkStart w:id="116" w:name="_Toc129333972"/>
      <w:r>
        <w:rPr>
          <w:rFonts w:hint="eastAsia"/>
        </w:rPr>
        <w:t>温升</w:t>
      </w:r>
      <w:bookmarkEnd w:id="116"/>
    </w:p>
    <w:p>
      <w:pPr>
        <w:pStyle w:val="57"/>
        <w:ind w:firstLine="420"/>
        <w:rPr>
          <w:rFonts w:hAnsi="Calibri" w:cs="宋体"/>
          <w:szCs w:val="21"/>
        </w:rPr>
      </w:pPr>
      <w:r>
        <w:rPr>
          <w:rFonts w:hint="eastAsia" w:hAnsi="Calibri" w:cs="宋体"/>
          <w:szCs w:val="21"/>
        </w:rPr>
        <w:t>电动机在额定状态运行时，其绕组温升应不大于8</w:t>
      </w:r>
      <w:r>
        <w:rPr>
          <w:rFonts w:hAnsi="Calibri" w:cs="宋体"/>
          <w:szCs w:val="21"/>
        </w:rPr>
        <w:t>0</w:t>
      </w:r>
      <w:r>
        <w:rPr>
          <w:rFonts w:hint="eastAsia" w:hAnsi="Calibri" w:cs="宋体"/>
          <w:szCs w:val="21"/>
        </w:rPr>
        <w:t xml:space="preserve"> K。</w:t>
      </w:r>
    </w:p>
    <w:p>
      <w:pPr>
        <w:pStyle w:val="106"/>
        <w:spacing w:before="120" w:after="120"/>
      </w:pPr>
      <w:bookmarkStart w:id="117" w:name="_Toc129333973"/>
      <w:r>
        <w:rPr>
          <w:rFonts w:hint="eastAsia"/>
        </w:rPr>
        <w:t>环境适应性</w:t>
      </w:r>
      <w:bookmarkEnd w:id="117"/>
    </w:p>
    <w:p>
      <w:pPr>
        <w:pStyle w:val="66"/>
        <w:spacing w:before="120" w:after="120"/>
      </w:pPr>
      <w:r>
        <w:rPr>
          <w:rFonts w:hint="eastAsia" w:cs="黑体"/>
          <w:color w:val="000000"/>
        </w:rPr>
        <w:t>盐雾试验</w:t>
      </w:r>
    </w:p>
    <w:p>
      <w:pPr>
        <w:pStyle w:val="57"/>
        <w:ind w:firstLine="420"/>
      </w:pPr>
      <w:r>
        <w:rPr>
          <w:rFonts w:hint="eastAsia"/>
        </w:rPr>
        <w:t>电动机外壳应能承受盐雾试验，试验后其表面应无明显锈蚀斑点。</w:t>
      </w:r>
    </w:p>
    <w:p>
      <w:pPr>
        <w:pStyle w:val="66"/>
        <w:spacing w:before="120" w:after="120"/>
      </w:pPr>
      <w:r>
        <w:rPr>
          <w:rFonts w:hint="eastAsia"/>
        </w:rPr>
        <w:t>高温试验</w:t>
      </w:r>
    </w:p>
    <w:p>
      <w:pPr>
        <w:pStyle w:val="57"/>
        <w:ind w:firstLine="420"/>
      </w:pPr>
      <w:r>
        <w:rPr>
          <w:rFonts w:hint="eastAsia"/>
        </w:rPr>
        <w:t>电动机应能承受</w:t>
      </w:r>
      <w:r>
        <w:t xml:space="preserve">+50 </w:t>
      </w:r>
      <w:r>
        <w:rPr>
          <w:rFonts w:hint="eastAsia"/>
        </w:rPr>
        <w:t>℃的高温试验，试验后电动机应能正常工作。</w:t>
      </w:r>
      <w:r>
        <w:t xml:space="preserve"> </w:t>
      </w:r>
    </w:p>
    <w:p>
      <w:pPr>
        <w:pStyle w:val="66"/>
        <w:spacing w:before="120" w:after="120"/>
      </w:pPr>
      <w:r>
        <w:rPr>
          <w:rFonts w:hint="eastAsia"/>
        </w:rPr>
        <w:t>低温试验</w:t>
      </w:r>
    </w:p>
    <w:p>
      <w:pPr>
        <w:pStyle w:val="57"/>
        <w:ind w:firstLine="420"/>
        <w:rPr>
          <w:rFonts w:hAnsi="Calibri" w:cs="宋体"/>
          <w:color w:val="000000"/>
          <w:szCs w:val="21"/>
        </w:rPr>
      </w:pPr>
      <w:r>
        <w:rPr>
          <w:rFonts w:hint="eastAsia" w:hAnsi="Calibri" w:cs="宋体"/>
          <w:color w:val="000000"/>
          <w:szCs w:val="21"/>
        </w:rPr>
        <w:t>电动机应能承受</w:t>
      </w:r>
      <w:r>
        <w:rPr>
          <w:rFonts w:hAnsi="Calibri" w:cs="宋体"/>
          <w:color w:val="000000"/>
          <w:szCs w:val="21"/>
        </w:rPr>
        <w:t xml:space="preserve">-20 </w:t>
      </w:r>
      <w:r>
        <w:rPr>
          <w:rFonts w:hint="eastAsia" w:hAnsi="Calibri" w:cs="宋体"/>
          <w:color w:val="000000"/>
          <w:szCs w:val="21"/>
        </w:rPr>
        <w:t>℃的低温试验，试验后电动机应能正常工作。</w:t>
      </w:r>
    </w:p>
    <w:p>
      <w:pPr>
        <w:pStyle w:val="66"/>
        <w:spacing w:before="120" w:after="120"/>
      </w:pPr>
      <w:r>
        <w:rPr>
          <w:rFonts w:hint="eastAsia"/>
        </w:rPr>
        <w:t>振动试验</w:t>
      </w:r>
    </w:p>
    <w:p>
      <w:pPr>
        <w:pStyle w:val="57"/>
        <w:ind w:firstLine="420"/>
        <w:rPr>
          <w:rFonts w:cs="宋体"/>
        </w:rPr>
      </w:pPr>
      <w:r>
        <w:rPr>
          <w:rFonts w:hint="eastAsia" w:cs="宋体"/>
        </w:rPr>
        <w:t>电动机应能承受</w:t>
      </w:r>
      <w:r>
        <w:rPr>
          <w:rFonts w:cs="宋体"/>
        </w:rPr>
        <w:t>1 h</w:t>
      </w:r>
      <w:r>
        <w:rPr>
          <w:rFonts w:hint="eastAsia" w:cs="宋体"/>
        </w:rPr>
        <w:t>的振动试验，振动试验后在额定电压下应能正常空载起动与运转。</w:t>
      </w:r>
    </w:p>
    <w:p>
      <w:pPr>
        <w:pStyle w:val="106"/>
        <w:spacing w:before="120" w:after="120"/>
      </w:pPr>
      <w:bookmarkStart w:id="118" w:name="_Toc129333974"/>
      <w:r>
        <w:rPr>
          <w:rFonts w:hint="eastAsia"/>
        </w:rPr>
        <w:t>电磁兼容性</w:t>
      </w:r>
      <w:bookmarkEnd w:id="118"/>
    </w:p>
    <w:p>
      <w:pPr>
        <w:pStyle w:val="57"/>
        <w:ind w:firstLine="420"/>
        <w:rPr>
          <w:rFonts w:cs="宋体"/>
        </w:rPr>
      </w:pPr>
      <w:r>
        <w:rPr>
          <w:rFonts w:hint="eastAsia" w:cs="宋体"/>
        </w:rPr>
        <w:t>电动机在正常运行中的电磁兼容性应符合</w:t>
      </w:r>
      <w:r>
        <w:rPr>
          <w:rFonts w:hint="eastAsia"/>
          <w:bCs/>
        </w:rPr>
        <w:t>GB 17625.1和GB/T 17626.1的</w:t>
      </w:r>
      <w:r>
        <w:rPr>
          <w:rFonts w:hint="eastAsia" w:cs="宋体"/>
        </w:rPr>
        <w:t>规定。</w:t>
      </w:r>
    </w:p>
    <w:p>
      <w:pPr>
        <w:pStyle w:val="105"/>
        <w:spacing w:before="240" w:after="240"/>
      </w:pPr>
      <w:bookmarkStart w:id="119" w:name="_Toc112912949"/>
      <w:bookmarkStart w:id="120" w:name="_Toc107511378"/>
      <w:bookmarkStart w:id="121" w:name="_Toc112076711"/>
      <w:bookmarkStart w:id="122" w:name="_Toc129333976"/>
      <w:bookmarkStart w:id="123" w:name="_Toc107511283"/>
      <w:bookmarkStart w:id="124" w:name="_Toc129701647"/>
      <w:bookmarkStart w:id="125" w:name="_Toc129334004"/>
      <w:r>
        <w:rPr>
          <w:rFonts w:hint="eastAsia"/>
        </w:rPr>
        <w:t>试验方法</w:t>
      </w:r>
      <w:bookmarkEnd w:id="119"/>
      <w:bookmarkEnd w:id="120"/>
      <w:bookmarkEnd w:id="121"/>
      <w:bookmarkEnd w:id="122"/>
      <w:bookmarkEnd w:id="123"/>
      <w:bookmarkEnd w:id="124"/>
      <w:bookmarkEnd w:id="125"/>
    </w:p>
    <w:p>
      <w:pPr>
        <w:pStyle w:val="106"/>
        <w:spacing w:before="120" w:after="120"/>
      </w:pPr>
      <w:bookmarkStart w:id="126" w:name="_Toc129333977"/>
      <w:r>
        <w:rPr>
          <w:rFonts w:hint="eastAsia"/>
        </w:rPr>
        <w:t>外观与结构检查</w:t>
      </w:r>
      <w:bookmarkEnd w:id="126"/>
    </w:p>
    <w:p>
      <w:pPr>
        <w:pStyle w:val="166"/>
      </w:pPr>
      <w:r>
        <w:rPr>
          <w:rFonts w:hint="eastAsia"/>
        </w:rPr>
        <w:t>电动机外观质量检查采用目测法。</w:t>
      </w:r>
    </w:p>
    <w:p>
      <w:pPr>
        <w:pStyle w:val="166"/>
      </w:pPr>
      <w:r>
        <w:rPr>
          <w:rFonts w:hint="eastAsia" w:hAnsi="Calibri"/>
          <w:szCs w:val="21"/>
        </w:rPr>
        <w:t>电动机</w:t>
      </w:r>
      <w:r>
        <w:rPr>
          <w:rFonts w:hint="eastAsia"/>
        </w:rPr>
        <w:t>在额定电压下空载和负载运行，采用电参数仪和负载测功机测量电流、功率、转矩、转速，感观检查平稳性。</w:t>
      </w:r>
    </w:p>
    <w:p>
      <w:pPr>
        <w:pStyle w:val="166"/>
      </w:pPr>
      <w:r>
        <w:rPr>
          <w:rFonts w:hint="eastAsia"/>
        </w:rPr>
        <w:t>涂层厚度按</w:t>
      </w:r>
      <w:r>
        <w:t>GB/T 13452.2</w:t>
      </w:r>
      <w:r>
        <w:rPr>
          <w:rFonts w:hint="eastAsia"/>
        </w:rPr>
        <w:t>的规定进行。</w:t>
      </w:r>
    </w:p>
    <w:p>
      <w:pPr>
        <w:pStyle w:val="106"/>
        <w:spacing w:before="120" w:after="120"/>
      </w:pPr>
      <w:bookmarkStart w:id="127" w:name="_Toc129333978"/>
      <w:r>
        <w:rPr>
          <w:rFonts w:hint="eastAsia"/>
        </w:rPr>
        <w:t>轴向间隙检测</w:t>
      </w:r>
      <w:bookmarkEnd w:id="127"/>
    </w:p>
    <w:p>
      <w:pPr>
        <w:pStyle w:val="57"/>
        <w:ind w:firstLine="420"/>
      </w:pPr>
      <w:r>
        <w:rPr>
          <w:rFonts w:hint="eastAsia"/>
          <w:szCs w:val="21"/>
        </w:rPr>
        <w:t>将电动机轴向水平安装，千分表的测量头置于轴伸顶端，施加</w:t>
      </w:r>
      <w:r>
        <w:rPr>
          <w:szCs w:val="21"/>
        </w:rPr>
        <w:t>9.8 N</w:t>
      </w:r>
      <w:r>
        <w:rPr>
          <w:rFonts w:hint="eastAsia"/>
          <w:szCs w:val="21"/>
        </w:rPr>
        <w:t>轴向推力作用在出轴上，使轴沿中心线来回移动，千分表两次读数之差。</w:t>
      </w:r>
    </w:p>
    <w:p>
      <w:pPr>
        <w:pStyle w:val="106"/>
        <w:spacing w:before="120" w:after="120"/>
      </w:pPr>
      <w:bookmarkStart w:id="128" w:name="_Toc129333979"/>
      <w:r>
        <w:rPr>
          <w:rFonts w:hint="eastAsia"/>
        </w:rPr>
        <w:t>旋转方向检查</w:t>
      </w:r>
      <w:bookmarkEnd w:id="128"/>
    </w:p>
    <w:p>
      <w:pPr>
        <w:pStyle w:val="57"/>
        <w:ind w:firstLine="420"/>
      </w:pPr>
      <w:r>
        <w:rPr>
          <w:rFonts w:hint="eastAsia" w:hAnsi="Calibri" w:cs="宋体"/>
          <w:szCs w:val="21"/>
        </w:rPr>
        <w:t>电动机引出线按线端标志连接电源正负极，从出轴端观察电机的旋转方向。</w:t>
      </w:r>
    </w:p>
    <w:p>
      <w:pPr>
        <w:pStyle w:val="106"/>
        <w:spacing w:before="120" w:after="120"/>
      </w:pPr>
      <w:bookmarkStart w:id="129" w:name="_Toc129333980"/>
      <w:r>
        <w:rPr>
          <w:rFonts w:hint="eastAsia"/>
        </w:rPr>
        <w:t>转速精度检测</w:t>
      </w:r>
      <w:bookmarkEnd w:id="129"/>
    </w:p>
    <w:p>
      <w:pPr>
        <w:pStyle w:val="57"/>
        <w:ind w:firstLine="420"/>
        <w:rPr>
          <w:rFonts w:hAnsi="Calibri" w:cs="宋体"/>
          <w:szCs w:val="21"/>
        </w:rPr>
      </w:pPr>
      <w:r>
        <w:rPr>
          <w:rFonts w:hint="eastAsia" w:hAnsi="Calibri" w:cs="宋体"/>
          <w:szCs w:val="21"/>
        </w:rPr>
        <w:t>电动机</w:t>
      </w:r>
      <w:r>
        <w:rPr>
          <w:rFonts w:hint="eastAsia" w:cs="宋体"/>
        </w:rPr>
        <w:t>空载正、反转运行，用转速表测量</w:t>
      </w:r>
      <w:r>
        <w:rPr>
          <w:rFonts w:cs="宋体"/>
        </w:rPr>
        <w:t>3</w:t>
      </w:r>
      <w:r>
        <w:rPr>
          <w:rFonts w:hint="eastAsia" w:cs="宋体"/>
        </w:rPr>
        <w:t>次，取平均值。电机正、反转空载转速</w:t>
      </w:r>
      <w:r>
        <w:rPr>
          <w:rFonts w:cs="宋体"/>
        </w:rPr>
        <w:t>3</w:t>
      </w:r>
      <w:r>
        <w:rPr>
          <w:rFonts w:hint="eastAsia" w:cs="宋体"/>
        </w:rPr>
        <w:t>次中最大值或最小值与平均值的差值，除以平均值计算。</w:t>
      </w:r>
    </w:p>
    <w:p>
      <w:pPr>
        <w:pStyle w:val="106"/>
        <w:spacing w:before="120" w:after="120"/>
      </w:pPr>
      <w:bookmarkStart w:id="130" w:name="_Toc129333981"/>
      <w:r>
        <w:rPr>
          <w:rFonts w:hint="eastAsia"/>
        </w:rPr>
        <w:t>过载能力试验</w:t>
      </w:r>
      <w:bookmarkEnd w:id="130"/>
    </w:p>
    <w:p>
      <w:pPr>
        <w:pStyle w:val="57"/>
        <w:ind w:firstLine="420"/>
        <w:rPr>
          <w:rFonts w:hAnsi="Calibri" w:cs="宋体"/>
          <w:szCs w:val="21"/>
        </w:rPr>
      </w:pPr>
      <w:r>
        <w:rPr>
          <w:rFonts w:hint="eastAsia" w:hAnsi="Calibri" w:cs="宋体"/>
          <w:szCs w:val="21"/>
        </w:rPr>
        <w:t>电动机在额定电压下，应能承受1</w:t>
      </w:r>
      <w:r>
        <w:rPr>
          <w:rFonts w:hAnsi="Calibri" w:cs="宋体"/>
          <w:szCs w:val="21"/>
        </w:rPr>
        <w:t>.6</w:t>
      </w:r>
      <w:r>
        <w:rPr>
          <w:rFonts w:hint="eastAsia" w:hAnsi="Calibri" w:cs="宋体"/>
          <w:szCs w:val="21"/>
        </w:rPr>
        <w:t>倍额定转矩试验，历时</w:t>
      </w:r>
      <w:r>
        <w:rPr>
          <w:rFonts w:hAnsi="Calibri" w:cs="宋体"/>
          <w:szCs w:val="21"/>
        </w:rPr>
        <w:t>30 s</w:t>
      </w:r>
      <w:r>
        <w:rPr>
          <w:rFonts w:hint="eastAsia" w:hAnsi="Calibri" w:cs="宋体"/>
          <w:szCs w:val="21"/>
        </w:rPr>
        <w:t>，电动机无停转及发生有害变形。</w:t>
      </w:r>
    </w:p>
    <w:p>
      <w:pPr>
        <w:pStyle w:val="106"/>
        <w:spacing w:before="120" w:after="120"/>
        <w:rPr>
          <w:rFonts w:ascii="宋体" w:cs="宋体"/>
        </w:rPr>
      </w:pPr>
      <w:bookmarkStart w:id="131" w:name="_Toc129333982"/>
      <w:r>
        <w:rPr>
          <w:rFonts w:hint="eastAsia"/>
        </w:rPr>
        <w:t>电机效率试验</w:t>
      </w:r>
      <w:bookmarkEnd w:id="131"/>
    </w:p>
    <w:p>
      <w:pPr>
        <w:pStyle w:val="57"/>
        <w:ind w:firstLine="420"/>
        <w:rPr>
          <w:rFonts w:hAnsi="Calibri" w:cs="宋体"/>
          <w:szCs w:val="21"/>
        </w:rPr>
      </w:pPr>
      <w:r>
        <w:rPr>
          <w:rFonts w:hint="eastAsia" w:hAnsi="Calibri" w:cs="宋体"/>
          <w:szCs w:val="21"/>
        </w:rPr>
        <w:t>按</w:t>
      </w:r>
      <w:r>
        <w:rPr>
          <w:rFonts w:hAnsi="Calibri" w:cs="宋体"/>
          <w:szCs w:val="21"/>
        </w:rPr>
        <w:t>GB/T 5171.21—2016</w:t>
      </w:r>
      <w:r>
        <w:rPr>
          <w:rFonts w:hint="eastAsia" w:hAnsi="Calibri" w:cs="宋体"/>
          <w:szCs w:val="21"/>
        </w:rPr>
        <w:t>中第</w:t>
      </w:r>
      <w:r>
        <w:rPr>
          <w:rFonts w:hAnsi="Calibri" w:cs="宋体"/>
          <w:szCs w:val="21"/>
        </w:rPr>
        <w:t>7</w:t>
      </w:r>
      <w:r>
        <w:rPr>
          <w:rFonts w:hint="eastAsia" w:hAnsi="Calibri" w:cs="宋体"/>
          <w:szCs w:val="21"/>
        </w:rPr>
        <w:t>章的规定进行。</w:t>
      </w:r>
    </w:p>
    <w:p>
      <w:pPr>
        <w:pStyle w:val="106"/>
        <w:spacing w:before="120" w:after="120"/>
      </w:pPr>
      <w:bookmarkStart w:id="132" w:name="_Toc129333983"/>
      <w:r>
        <w:rPr>
          <w:rFonts w:hint="eastAsia"/>
        </w:rPr>
        <w:t>电气安全试验</w:t>
      </w:r>
      <w:bookmarkEnd w:id="132"/>
    </w:p>
    <w:p>
      <w:pPr>
        <w:pStyle w:val="57"/>
        <w:ind w:firstLine="420"/>
      </w:pPr>
      <w:r>
        <w:rPr>
          <w:rFonts w:hint="eastAsia" w:hAnsi="Calibri" w:cs="宋体"/>
          <w:szCs w:val="21"/>
        </w:rPr>
        <w:t>按</w:t>
      </w:r>
      <w:r>
        <w:rPr>
          <w:rFonts w:hAnsi="Calibri" w:cs="宋体"/>
          <w:szCs w:val="21"/>
        </w:rPr>
        <w:t>GB/T 18211</w:t>
      </w:r>
      <w:r>
        <w:rPr>
          <w:rFonts w:hint="eastAsia" w:hAnsi="Calibri" w:cs="宋体"/>
          <w:szCs w:val="21"/>
        </w:rPr>
        <w:t>的规定进行</w:t>
      </w:r>
      <w:r>
        <w:rPr>
          <w:rFonts w:hint="eastAsia"/>
        </w:rPr>
        <w:t>。</w:t>
      </w:r>
    </w:p>
    <w:p>
      <w:pPr>
        <w:pStyle w:val="106"/>
        <w:spacing w:before="120" w:after="120"/>
      </w:pPr>
      <w:bookmarkStart w:id="133" w:name="_Toc129333984"/>
      <w:r>
        <w:rPr>
          <w:rFonts w:hint="eastAsia"/>
        </w:rPr>
        <w:t>噪声试验</w:t>
      </w:r>
      <w:bookmarkEnd w:id="133"/>
    </w:p>
    <w:p>
      <w:pPr>
        <w:pStyle w:val="57"/>
        <w:ind w:firstLine="420"/>
      </w:pPr>
      <w:r>
        <w:rPr>
          <w:rFonts w:hint="eastAsia"/>
        </w:rPr>
        <w:t>按</w:t>
      </w:r>
      <w:r>
        <w:t>GB/T 10069.1</w:t>
      </w:r>
      <w:r>
        <w:rPr>
          <w:rFonts w:hint="eastAsia"/>
        </w:rPr>
        <w:t>—</w:t>
      </w:r>
      <w:r>
        <w:t>2006</w:t>
      </w:r>
      <w:r>
        <w:rPr>
          <w:rFonts w:hint="eastAsia"/>
        </w:rPr>
        <w:t>的规定进行，测量时电动机在额定电压下空载运行，</w:t>
      </w:r>
      <w:r>
        <w:rPr>
          <w:rFonts w:hint="eastAsia" w:cs="宋体"/>
        </w:rPr>
        <w:t>记录测试结果。</w:t>
      </w:r>
    </w:p>
    <w:p>
      <w:pPr>
        <w:pStyle w:val="106"/>
        <w:spacing w:before="120" w:after="120"/>
      </w:pPr>
      <w:bookmarkStart w:id="134" w:name="_Toc129333985"/>
      <w:r>
        <w:rPr>
          <w:rFonts w:hint="eastAsia"/>
        </w:rPr>
        <w:t>温升</w:t>
      </w:r>
      <w:r>
        <w:rPr>
          <w:rFonts w:hint="eastAsia" w:cs="黑体"/>
        </w:rPr>
        <w:t>试验</w:t>
      </w:r>
      <w:bookmarkEnd w:id="134"/>
    </w:p>
    <w:p>
      <w:pPr>
        <w:pStyle w:val="57"/>
        <w:ind w:firstLine="420"/>
        <w:rPr>
          <w:rFonts w:cs="宋体"/>
        </w:rPr>
      </w:pPr>
      <w:r>
        <w:rPr>
          <w:rFonts w:hint="eastAsia" w:cs="宋体"/>
        </w:rPr>
        <w:t>按</w:t>
      </w:r>
      <w:r>
        <w:rPr>
          <w:rFonts w:cs="宋体"/>
        </w:rPr>
        <w:t>GB/T 12350</w:t>
      </w:r>
      <w:r>
        <w:rPr>
          <w:rFonts w:hint="eastAsia" w:cs="宋体"/>
        </w:rPr>
        <w:t>的规定进行。</w:t>
      </w:r>
    </w:p>
    <w:p>
      <w:pPr>
        <w:pStyle w:val="106"/>
        <w:spacing w:before="120" w:after="120"/>
      </w:pPr>
      <w:bookmarkStart w:id="135" w:name="_Toc129333986"/>
      <w:r>
        <w:rPr>
          <w:rFonts w:hint="eastAsia"/>
        </w:rPr>
        <w:t>环境适应性</w:t>
      </w:r>
      <w:bookmarkEnd w:id="135"/>
    </w:p>
    <w:p>
      <w:pPr>
        <w:pStyle w:val="66"/>
        <w:spacing w:before="120" w:after="120"/>
      </w:pPr>
      <w:r>
        <w:rPr>
          <w:rFonts w:hint="eastAsia" w:cs="黑体"/>
          <w:color w:val="000000"/>
        </w:rPr>
        <w:t>盐雾试验</w:t>
      </w:r>
    </w:p>
    <w:p>
      <w:pPr>
        <w:pStyle w:val="57"/>
        <w:ind w:firstLine="420"/>
        <w:rPr>
          <w:rFonts w:cs="宋体"/>
          <w:color w:val="000000"/>
        </w:rPr>
      </w:pPr>
      <w:r>
        <w:rPr>
          <w:rFonts w:hint="eastAsia" w:cs="宋体"/>
          <w:color w:val="000000"/>
        </w:rPr>
        <w:t>按</w:t>
      </w:r>
      <w:r>
        <w:rPr>
          <w:rFonts w:cs="宋体"/>
          <w:color w:val="000000"/>
        </w:rPr>
        <w:t>GB/T 2423.17</w:t>
      </w:r>
      <w:r>
        <w:rPr>
          <w:rFonts w:hint="eastAsia" w:cs="宋体"/>
          <w:color w:val="000000"/>
        </w:rPr>
        <w:t>的规定进行，试验周期</w:t>
      </w:r>
      <w:r>
        <w:rPr>
          <w:rFonts w:cs="宋体"/>
          <w:color w:val="000000"/>
        </w:rPr>
        <w:t xml:space="preserve">24 </w:t>
      </w:r>
      <w:r>
        <w:rPr>
          <w:rFonts w:ascii="黑体" w:eastAsia="黑体" w:cs="黑体"/>
          <w:color w:val="000000"/>
        </w:rPr>
        <w:t>h</w:t>
      </w:r>
      <w:r>
        <w:rPr>
          <w:rFonts w:hint="eastAsia" w:cs="宋体"/>
          <w:color w:val="000000"/>
        </w:rPr>
        <w:t>，试验结束后感观检查。</w:t>
      </w:r>
    </w:p>
    <w:p>
      <w:pPr>
        <w:pStyle w:val="66"/>
        <w:spacing w:before="120" w:after="120"/>
      </w:pPr>
      <w:r>
        <w:rPr>
          <w:rFonts w:hint="eastAsia"/>
        </w:rPr>
        <w:t>高温试验</w:t>
      </w:r>
    </w:p>
    <w:p>
      <w:pPr>
        <w:pStyle w:val="57"/>
        <w:ind w:firstLine="420"/>
      </w:pPr>
      <w:r>
        <w:rPr>
          <w:rFonts w:hint="eastAsia"/>
        </w:rPr>
        <w:t>按</w:t>
      </w:r>
      <w:r>
        <w:t>GB/T 2423.2</w:t>
      </w:r>
      <w:r>
        <w:rPr>
          <w:rFonts w:hint="eastAsia"/>
        </w:rPr>
        <w:t>的规定进行，试验周期1</w:t>
      </w:r>
      <w:r>
        <w:t>6</w:t>
      </w:r>
      <w:r>
        <w:rPr>
          <w:rFonts w:hint="eastAsia"/>
        </w:rPr>
        <w:t xml:space="preserve"> </w:t>
      </w:r>
      <w:r>
        <w:t>h</w:t>
      </w:r>
      <w:r>
        <w:rPr>
          <w:rFonts w:hint="eastAsia"/>
        </w:rPr>
        <w:t>，试验结束后电动机通电应能正常运转。</w:t>
      </w:r>
    </w:p>
    <w:p>
      <w:pPr>
        <w:pStyle w:val="66"/>
        <w:spacing w:before="120" w:after="120"/>
      </w:pPr>
      <w:r>
        <w:rPr>
          <w:rFonts w:hint="eastAsia"/>
        </w:rPr>
        <w:t>低温试验</w:t>
      </w:r>
    </w:p>
    <w:p>
      <w:pPr>
        <w:pStyle w:val="57"/>
        <w:ind w:firstLine="420"/>
        <w:rPr>
          <w:rFonts w:hAnsi="Calibri" w:cs="宋体"/>
          <w:color w:val="000000"/>
          <w:szCs w:val="21"/>
        </w:rPr>
      </w:pPr>
      <w:r>
        <w:rPr>
          <w:rFonts w:hint="eastAsia" w:hAnsi="Calibri" w:cs="宋体"/>
          <w:color w:val="000000"/>
          <w:szCs w:val="21"/>
        </w:rPr>
        <w:t>按</w:t>
      </w:r>
      <w:r>
        <w:rPr>
          <w:rFonts w:hAnsi="Calibri" w:cs="宋体"/>
          <w:color w:val="000000"/>
          <w:szCs w:val="21"/>
        </w:rPr>
        <w:t>GB/T 2423.1</w:t>
      </w:r>
      <w:r>
        <w:rPr>
          <w:rFonts w:hint="eastAsia" w:hAnsi="Calibri" w:cs="宋体"/>
          <w:color w:val="000000"/>
          <w:szCs w:val="21"/>
        </w:rPr>
        <w:t>的规定进行，试验周期</w:t>
      </w:r>
      <w:r>
        <w:rPr>
          <w:rFonts w:hint="eastAsia"/>
        </w:rPr>
        <w:t>1</w:t>
      </w:r>
      <w:r>
        <w:t>6</w:t>
      </w:r>
      <w:r>
        <w:rPr>
          <w:rFonts w:hAnsi="Calibri" w:cs="宋体"/>
          <w:color w:val="000000"/>
          <w:szCs w:val="21"/>
        </w:rPr>
        <w:t xml:space="preserve"> h</w:t>
      </w:r>
      <w:r>
        <w:rPr>
          <w:rFonts w:hint="eastAsia" w:hAnsi="Calibri" w:cs="宋体"/>
          <w:color w:val="000000"/>
          <w:szCs w:val="21"/>
        </w:rPr>
        <w:t>，试验结束后电动机通电应能正常运转。</w:t>
      </w:r>
    </w:p>
    <w:p>
      <w:pPr>
        <w:pStyle w:val="66"/>
        <w:spacing w:before="120" w:after="120"/>
      </w:pPr>
      <w:r>
        <w:rPr>
          <w:rFonts w:hint="eastAsia"/>
        </w:rPr>
        <w:t>振动试验</w:t>
      </w:r>
    </w:p>
    <w:p>
      <w:pPr>
        <w:pStyle w:val="57"/>
        <w:ind w:firstLine="420"/>
        <w:rPr>
          <w:rFonts w:cs="宋体"/>
        </w:rPr>
      </w:pPr>
      <w:r>
        <w:rPr>
          <w:rFonts w:hint="eastAsia" w:cs="宋体"/>
        </w:rPr>
        <w:t>将电动机安装在振动试验板上，再固定在振动台上，电动机的电刷垂直于振动面,振动1 h，其中水平方向30 min，垂直方向30 min，试验振频为10 Hz双振幅为1.5 mm。振动试验后</w:t>
      </w:r>
      <w:r>
        <w:rPr>
          <w:rFonts w:hint="eastAsia" w:hAnsi="Calibri" w:cs="宋体"/>
          <w:szCs w:val="21"/>
        </w:rPr>
        <w:t>电动机通电应能正常运转。</w:t>
      </w:r>
    </w:p>
    <w:p>
      <w:pPr>
        <w:pStyle w:val="106"/>
        <w:spacing w:before="120" w:after="120"/>
      </w:pPr>
      <w:bookmarkStart w:id="136" w:name="_Toc129333987"/>
      <w:r>
        <w:rPr>
          <w:rFonts w:hint="eastAsia"/>
        </w:rPr>
        <w:t>电磁兼容性</w:t>
      </w:r>
      <w:bookmarkEnd w:id="136"/>
      <w:r>
        <w:rPr>
          <w:rFonts w:hint="eastAsia"/>
        </w:rPr>
        <w:t>试验</w:t>
      </w:r>
    </w:p>
    <w:p>
      <w:pPr>
        <w:pStyle w:val="57"/>
        <w:ind w:firstLine="420"/>
        <w:rPr>
          <w:rFonts w:ascii="黑体" w:eastAsia="黑体" w:cs="黑体"/>
        </w:rPr>
      </w:pPr>
      <w:r>
        <w:rPr>
          <w:rFonts w:hint="eastAsia"/>
        </w:rPr>
        <w:t>按</w:t>
      </w:r>
      <w:r>
        <w:rPr>
          <w:rFonts w:hint="eastAsia"/>
          <w:bCs/>
        </w:rPr>
        <w:t>GB 17625.1和GB/T 17626.1规定的进行。</w:t>
      </w:r>
    </w:p>
    <w:p>
      <w:pPr>
        <w:pStyle w:val="105"/>
        <w:spacing w:before="240" w:after="240"/>
      </w:pPr>
      <w:bookmarkStart w:id="137" w:name="_Toc107511294"/>
      <w:bookmarkStart w:id="138" w:name="_Toc107511389"/>
      <w:bookmarkStart w:id="139" w:name="_Toc129334005"/>
      <w:bookmarkStart w:id="140" w:name="_Toc129701648"/>
      <w:bookmarkStart w:id="141" w:name="_Toc112912950"/>
      <w:bookmarkStart w:id="142" w:name="_Toc112076712"/>
      <w:bookmarkStart w:id="143" w:name="_Toc129333989"/>
      <w:r>
        <w:rPr>
          <w:rFonts w:hint="eastAsia"/>
        </w:rPr>
        <w:t>检验规则</w:t>
      </w:r>
      <w:bookmarkEnd w:id="137"/>
      <w:bookmarkEnd w:id="138"/>
      <w:bookmarkEnd w:id="139"/>
      <w:bookmarkEnd w:id="140"/>
      <w:bookmarkEnd w:id="141"/>
      <w:bookmarkEnd w:id="142"/>
      <w:bookmarkEnd w:id="143"/>
    </w:p>
    <w:p>
      <w:pPr>
        <w:pStyle w:val="106"/>
        <w:spacing w:before="120" w:after="120"/>
      </w:pPr>
      <w:bookmarkStart w:id="144" w:name="_Toc129333990"/>
      <w:bookmarkStart w:id="145" w:name="_Toc107511295"/>
      <w:bookmarkStart w:id="146" w:name="_Toc112076713"/>
      <w:bookmarkStart w:id="147" w:name="_Toc107511390"/>
      <w:bookmarkStart w:id="148" w:name="_Toc112912951"/>
      <w:r>
        <w:rPr>
          <w:rFonts w:hint="eastAsia"/>
        </w:rPr>
        <w:t>检验分类</w:t>
      </w:r>
      <w:bookmarkEnd w:id="144"/>
      <w:bookmarkEnd w:id="145"/>
      <w:bookmarkEnd w:id="146"/>
      <w:bookmarkEnd w:id="147"/>
      <w:bookmarkEnd w:id="148"/>
    </w:p>
    <w:p>
      <w:pPr>
        <w:pStyle w:val="57"/>
        <w:ind w:firstLine="420"/>
      </w:pPr>
      <w:r>
        <w:rPr>
          <w:rFonts w:hint="eastAsia"/>
        </w:rPr>
        <w:t>检验分为出厂检验和型式检验。</w:t>
      </w:r>
    </w:p>
    <w:p>
      <w:pPr>
        <w:pStyle w:val="106"/>
        <w:spacing w:before="120" w:after="120"/>
      </w:pPr>
      <w:bookmarkStart w:id="149" w:name="_Toc107511391"/>
      <w:bookmarkStart w:id="150" w:name="_Toc107511296"/>
      <w:bookmarkStart w:id="151" w:name="_Toc112076714"/>
      <w:bookmarkStart w:id="152" w:name="_Toc112912952"/>
      <w:bookmarkStart w:id="153" w:name="_Toc129333991"/>
      <w:r>
        <w:rPr>
          <w:rFonts w:hint="eastAsia"/>
        </w:rPr>
        <w:t>出厂检验</w:t>
      </w:r>
      <w:bookmarkEnd w:id="149"/>
      <w:bookmarkEnd w:id="150"/>
      <w:bookmarkEnd w:id="151"/>
      <w:bookmarkEnd w:id="152"/>
      <w:bookmarkEnd w:id="153"/>
    </w:p>
    <w:p>
      <w:pPr>
        <w:pStyle w:val="166"/>
      </w:pPr>
      <w:r>
        <w:rPr>
          <w:rFonts w:hint="eastAsia"/>
        </w:rPr>
        <w:t>出厂检验项目见表2</w:t>
      </w:r>
      <w:r>
        <w:rPr>
          <w:rFonts w:hint="eastAsia"/>
          <w:szCs w:val="21"/>
        </w:rPr>
        <w:t>。</w:t>
      </w:r>
    </w:p>
    <w:p>
      <w:pPr>
        <w:pStyle w:val="166"/>
      </w:pPr>
      <w:r>
        <w:rPr>
          <w:rFonts w:hint="eastAsia"/>
          <w:szCs w:val="21"/>
        </w:rPr>
        <w:t>电动机出厂试验分为全检和抽检，全检项目合格后再进行抽样检验。电动机出厂检验抽样数量为：每批次数量少于</w:t>
      </w:r>
      <w:r>
        <w:rPr>
          <w:szCs w:val="21"/>
        </w:rPr>
        <w:t>500</w:t>
      </w:r>
      <w:r>
        <w:rPr>
          <w:rFonts w:hint="eastAsia"/>
          <w:szCs w:val="21"/>
        </w:rPr>
        <w:t>台，抽样</w:t>
      </w:r>
      <w:r>
        <w:rPr>
          <w:szCs w:val="21"/>
        </w:rPr>
        <w:t>2</w:t>
      </w:r>
      <w:r>
        <w:rPr>
          <w:rFonts w:hint="eastAsia"/>
          <w:szCs w:val="21"/>
        </w:rPr>
        <w:t>台，每批次数量超过</w:t>
      </w:r>
      <w:r>
        <w:rPr>
          <w:szCs w:val="21"/>
        </w:rPr>
        <w:t>500</w:t>
      </w:r>
      <w:r>
        <w:rPr>
          <w:rFonts w:hint="eastAsia"/>
          <w:szCs w:val="21"/>
        </w:rPr>
        <w:t>台，抽样</w:t>
      </w:r>
      <w:r>
        <w:rPr>
          <w:szCs w:val="21"/>
        </w:rPr>
        <w:t>3</w:t>
      </w:r>
      <w:r>
        <w:rPr>
          <w:rFonts w:hint="eastAsia"/>
          <w:szCs w:val="21"/>
        </w:rPr>
        <w:t>台。</w:t>
      </w:r>
    </w:p>
    <w:p>
      <w:pPr>
        <w:pStyle w:val="166"/>
      </w:pPr>
      <w:r>
        <w:t>出厂试验全检和抽检项目全部合格，判定出厂试验合格。</w:t>
      </w:r>
    </w:p>
    <w:p>
      <w:pPr>
        <w:pStyle w:val="106"/>
        <w:spacing w:before="120" w:after="120"/>
      </w:pPr>
      <w:bookmarkStart w:id="154" w:name="_Toc104903881"/>
      <w:bookmarkStart w:id="155" w:name="_Toc104895570"/>
      <w:bookmarkStart w:id="156" w:name="_Toc105405847"/>
      <w:bookmarkStart w:id="157" w:name="_Toc104912462"/>
      <w:bookmarkStart w:id="158" w:name="_Toc129333992"/>
      <w:r>
        <w:rPr>
          <w:rFonts w:hint="eastAsia"/>
        </w:rPr>
        <w:t>型式检验</w:t>
      </w:r>
      <w:bookmarkEnd w:id="154"/>
      <w:bookmarkEnd w:id="155"/>
      <w:bookmarkEnd w:id="156"/>
      <w:bookmarkEnd w:id="157"/>
      <w:bookmarkEnd w:id="158"/>
    </w:p>
    <w:p>
      <w:pPr>
        <w:pStyle w:val="166"/>
      </w:pPr>
      <w:r>
        <w:rPr>
          <w:rFonts w:hint="eastAsia"/>
        </w:rPr>
        <w:t>有下列情况之一时，一般应进行型式检验：</w:t>
      </w:r>
    </w:p>
    <w:p>
      <w:pPr>
        <w:pStyle w:val="175"/>
        <w:numPr>
          <w:ilvl w:val="0"/>
          <w:numId w:val="32"/>
        </w:numPr>
        <w:autoSpaceDE w:val="0"/>
        <w:autoSpaceDN w:val="0"/>
        <w:jc w:val="left"/>
        <w:rPr>
          <w:rFonts w:cs="宋体"/>
        </w:rPr>
      </w:pPr>
      <w:r>
        <w:rPr>
          <w:rFonts w:hint="eastAsia" w:cs="宋体"/>
        </w:rPr>
        <w:t>产品电磁设计、机械结构或制造过程中工艺和所用材料的变更足以引起性能和参数变化时，允许根据上述变更可能产生的影响进行有关项目试验；</w:t>
      </w:r>
    </w:p>
    <w:p>
      <w:pPr>
        <w:pStyle w:val="175"/>
        <w:numPr>
          <w:ilvl w:val="0"/>
          <w:numId w:val="32"/>
        </w:numPr>
        <w:autoSpaceDE w:val="0"/>
        <w:autoSpaceDN w:val="0"/>
        <w:jc w:val="left"/>
        <w:rPr>
          <w:rFonts w:cs="宋体"/>
        </w:rPr>
      </w:pPr>
      <w:r>
        <w:rPr>
          <w:rFonts w:hint="eastAsia" w:cs="宋体"/>
        </w:rPr>
        <w:t>产品正常生产时，每</w:t>
      </w:r>
      <w:r>
        <w:rPr>
          <w:rFonts w:cs="宋体"/>
        </w:rPr>
        <w:t>6</w:t>
      </w:r>
      <w:r>
        <w:rPr>
          <w:rFonts w:hint="eastAsia" w:cs="宋体"/>
        </w:rPr>
        <w:t>个月进行一次；</w:t>
      </w:r>
    </w:p>
    <w:p>
      <w:pPr>
        <w:pStyle w:val="175"/>
      </w:pPr>
      <w:r>
        <w:rPr>
          <w:rFonts w:hint="eastAsia"/>
        </w:rPr>
        <w:t>产品停产1年以上，恢复生产时；</w:t>
      </w:r>
    </w:p>
    <w:p>
      <w:pPr>
        <w:pStyle w:val="175"/>
      </w:pPr>
      <w:r>
        <w:rPr>
          <w:rFonts w:hint="eastAsia"/>
        </w:rPr>
        <w:t>出厂检验结果与上次型式检验有较大差异时；</w:t>
      </w:r>
    </w:p>
    <w:p>
      <w:pPr>
        <w:pStyle w:val="175"/>
      </w:pPr>
      <w:r>
        <w:rPr>
          <w:rFonts w:hint="eastAsia"/>
        </w:rPr>
        <w:t>国家质量监督机构依法提出进行型式检验时。</w:t>
      </w:r>
    </w:p>
    <w:p>
      <w:pPr>
        <w:pStyle w:val="166"/>
      </w:pPr>
      <w:r>
        <w:rPr>
          <w:rFonts w:hint="eastAsia"/>
        </w:rPr>
        <w:t>型式检验项目见表2</w:t>
      </w:r>
      <w:r>
        <w:rPr>
          <w:rFonts w:hint="eastAsia"/>
          <w:szCs w:val="21"/>
        </w:rPr>
        <w:t>。</w:t>
      </w:r>
    </w:p>
    <w:p>
      <w:pPr>
        <w:pStyle w:val="166"/>
      </w:pPr>
      <w:r>
        <w:rPr>
          <w:rFonts w:hint="eastAsia"/>
        </w:rPr>
        <w:t>型式试验样品从出厂检验合格品中随机抽取，样品数量为</w:t>
      </w:r>
      <w:r>
        <w:rPr>
          <w:szCs w:val="21"/>
        </w:rPr>
        <w:t>2</w:t>
      </w:r>
      <w:r>
        <w:rPr>
          <w:rFonts w:hint="eastAsia"/>
          <w:szCs w:val="21"/>
        </w:rPr>
        <w:t>台。</w:t>
      </w:r>
    </w:p>
    <w:p>
      <w:pPr>
        <w:pStyle w:val="166"/>
      </w:pPr>
      <w:r>
        <w:rPr>
          <w:rFonts w:hint="eastAsia"/>
        </w:rPr>
        <w:t>在型式检验中若发现任何一项不合格，则应另取2倍不合格数量的产品重复不合格项目检验，若仍有一项不合格，则判定型式检验不合格。</w:t>
      </w:r>
    </w:p>
    <w:p>
      <w:pPr>
        <w:pStyle w:val="234"/>
        <w:numPr>
          <w:ilvl w:val="0"/>
          <w:numId w:val="16"/>
        </w:numPr>
        <w:tabs>
          <w:tab w:val="clear" w:pos="360"/>
        </w:tabs>
        <w:spacing w:before="120" w:after="120"/>
        <w:ind w:left="0"/>
      </w:pPr>
      <w:r>
        <w:rPr>
          <w:rFonts w:hint="eastAsia"/>
        </w:rPr>
        <w:t>检验项目</w:t>
      </w:r>
    </w:p>
    <w:tbl>
      <w:tblPr>
        <w:tblStyle w:val="27"/>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732"/>
        <w:gridCol w:w="1306"/>
        <w:gridCol w:w="1307"/>
        <w:gridCol w:w="1524"/>
        <w:gridCol w:w="1350"/>
        <w:gridCol w:w="810"/>
        <w:gridCol w:w="810"/>
        <w:gridCol w:w="99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45" w:hRule="atLeast"/>
          <w:jc w:val="center"/>
        </w:trPr>
        <w:tc>
          <w:tcPr>
            <w:tcW w:w="732" w:type="dxa"/>
            <w:vMerge w:val="restart"/>
            <w:tcBorders>
              <w:top w:val="single" w:color="auto" w:sz="8" w:space="0"/>
            </w:tcBorders>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序号</w:t>
            </w:r>
          </w:p>
        </w:tc>
        <w:tc>
          <w:tcPr>
            <w:tcW w:w="2613" w:type="dxa"/>
            <w:gridSpan w:val="2"/>
            <w:vMerge w:val="restart"/>
            <w:tcBorders>
              <w:top w:val="single" w:color="auto" w:sz="8" w:space="0"/>
            </w:tcBorders>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检验项目</w:t>
            </w:r>
          </w:p>
        </w:tc>
        <w:tc>
          <w:tcPr>
            <w:tcW w:w="1524" w:type="dxa"/>
            <w:vMerge w:val="restart"/>
            <w:tcBorders>
              <w:top w:val="single" w:color="auto" w:sz="8" w:space="0"/>
            </w:tcBorders>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要求</w:t>
            </w:r>
          </w:p>
        </w:tc>
        <w:tc>
          <w:tcPr>
            <w:tcW w:w="1350" w:type="dxa"/>
            <w:vMerge w:val="restart"/>
            <w:tcBorders>
              <w:top w:val="single" w:color="auto" w:sz="8" w:space="0"/>
            </w:tcBorders>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检验方法</w:t>
            </w:r>
          </w:p>
        </w:tc>
        <w:tc>
          <w:tcPr>
            <w:tcW w:w="1620" w:type="dxa"/>
            <w:gridSpan w:val="2"/>
            <w:tcBorders>
              <w:top w:val="single" w:color="auto" w:sz="8" w:space="0"/>
              <w:bottom w:val="single" w:color="auto" w:sz="8" w:space="0"/>
            </w:tcBorders>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出厂检验</w:t>
            </w:r>
          </w:p>
        </w:tc>
        <w:tc>
          <w:tcPr>
            <w:tcW w:w="993" w:type="dxa"/>
            <w:vMerge w:val="restart"/>
            <w:tcBorders>
              <w:top w:val="single" w:color="auto" w:sz="8" w:space="0"/>
            </w:tcBorders>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型式检验</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45" w:hRule="atLeast"/>
          <w:jc w:val="center"/>
        </w:trPr>
        <w:tc>
          <w:tcPr>
            <w:tcW w:w="732" w:type="dxa"/>
            <w:vMerge w:val="continue"/>
            <w:tcBorders>
              <w:bottom w:val="single" w:color="auto" w:sz="8" w:space="0"/>
            </w:tcBorders>
            <w:shd w:val="clear" w:color="auto" w:fill="auto"/>
            <w:vAlign w:val="center"/>
          </w:tcPr>
          <w:p>
            <w:pPr>
              <w:spacing w:line="240" w:lineRule="auto"/>
              <w:jc w:val="center"/>
              <w:rPr>
                <w:rFonts w:ascii="宋体" w:hAnsi="宋体"/>
                <w:color w:val="000000"/>
                <w:sz w:val="18"/>
                <w:szCs w:val="18"/>
              </w:rPr>
            </w:pPr>
          </w:p>
        </w:tc>
        <w:tc>
          <w:tcPr>
            <w:tcW w:w="2613" w:type="dxa"/>
            <w:gridSpan w:val="2"/>
            <w:vMerge w:val="continue"/>
            <w:tcBorders>
              <w:bottom w:val="single" w:color="auto" w:sz="8" w:space="0"/>
            </w:tcBorders>
            <w:shd w:val="clear" w:color="auto" w:fill="auto"/>
            <w:vAlign w:val="center"/>
          </w:tcPr>
          <w:p>
            <w:pPr>
              <w:spacing w:line="240" w:lineRule="auto"/>
              <w:jc w:val="center"/>
              <w:rPr>
                <w:rFonts w:ascii="宋体" w:hAnsi="宋体"/>
                <w:color w:val="000000"/>
                <w:sz w:val="18"/>
                <w:szCs w:val="18"/>
              </w:rPr>
            </w:pPr>
          </w:p>
        </w:tc>
        <w:tc>
          <w:tcPr>
            <w:tcW w:w="1524" w:type="dxa"/>
            <w:vMerge w:val="continue"/>
            <w:tcBorders>
              <w:bottom w:val="single" w:color="auto" w:sz="8" w:space="0"/>
            </w:tcBorders>
            <w:shd w:val="clear" w:color="auto" w:fill="auto"/>
            <w:vAlign w:val="center"/>
          </w:tcPr>
          <w:p>
            <w:pPr>
              <w:spacing w:line="240" w:lineRule="auto"/>
              <w:jc w:val="center"/>
              <w:rPr>
                <w:rFonts w:ascii="宋体" w:hAnsi="宋体"/>
                <w:color w:val="000000"/>
                <w:sz w:val="18"/>
                <w:szCs w:val="18"/>
              </w:rPr>
            </w:pPr>
          </w:p>
        </w:tc>
        <w:tc>
          <w:tcPr>
            <w:tcW w:w="1350" w:type="dxa"/>
            <w:vMerge w:val="continue"/>
            <w:tcBorders>
              <w:bottom w:val="single" w:color="auto" w:sz="8" w:space="0"/>
            </w:tcBorders>
            <w:shd w:val="clear" w:color="auto" w:fill="auto"/>
            <w:vAlign w:val="center"/>
          </w:tcPr>
          <w:p>
            <w:pPr>
              <w:spacing w:line="240" w:lineRule="auto"/>
              <w:jc w:val="center"/>
              <w:rPr>
                <w:rFonts w:ascii="宋体" w:hAnsi="宋体"/>
                <w:color w:val="000000"/>
                <w:sz w:val="18"/>
                <w:szCs w:val="18"/>
              </w:rPr>
            </w:pPr>
          </w:p>
        </w:tc>
        <w:tc>
          <w:tcPr>
            <w:tcW w:w="810" w:type="dxa"/>
            <w:tcBorders>
              <w:top w:val="single" w:color="auto" w:sz="8" w:space="0"/>
              <w:bottom w:val="single" w:color="auto" w:sz="8" w:space="0"/>
            </w:tcBorders>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抽检</w:t>
            </w:r>
          </w:p>
        </w:tc>
        <w:tc>
          <w:tcPr>
            <w:tcW w:w="810" w:type="dxa"/>
            <w:tcBorders>
              <w:bottom w:val="single" w:color="auto" w:sz="8" w:space="0"/>
            </w:tcBorders>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全检</w:t>
            </w:r>
          </w:p>
        </w:tc>
        <w:tc>
          <w:tcPr>
            <w:tcW w:w="993" w:type="dxa"/>
            <w:vMerge w:val="continue"/>
            <w:tcBorders>
              <w:bottom w:val="single" w:color="auto" w:sz="8" w:space="0"/>
            </w:tcBorders>
            <w:shd w:val="clear" w:color="auto" w:fill="auto"/>
            <w:vAlign w:val="center"/>
          </w:tcPr>
          <w:p>
            <w:pPr>
              <w:spacing w:line="240" w:lineRule="auto"/>
              <w:jc w:val="center"/>
              <w:rPr>
                <w:rFonts w:ascii="宋体" w:hAnsi="宋体"/>
                <w:color w:val="000000"/>
                <w:sz w:val="18"/>
                <w:szCs w:val="18"/>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44" w:hRule="atLeast"/>
          <w:jc w:val="center"/>
        </w:trPr>
        <w:tc>
          <w:tcPr>
            <w:tcW w:w="732" w:type="dxa"/>
            <w:tcBorders>
              <w:top w:val="single" w:color="auto" w:sz="8" w:space="0"/>
            </w:tcBorders>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1</w:t>
            </w:r>
          </w:p>
        </w:tc>
        <w:tc>
          <w:tcPr>
            <w:tcW w:w="1306" w:type="dxa"/>
            <w:vMerge w:val="restart"/>
            <w:tcBorders>
              <w:top w:val="single" w:color="auto" w:sz="8" w:space="0"/>
            </w:tcBorders>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外观与结构</w:t>
            </w:r>
          </w:p>
        </w:tc>
        <w:tc>
          <w:tcPr>
            <w:tcW w:w="1307" w:type="dxa"/>
            <w:tcBorders>
              <w:top w:val="single" w:color="auto" w:sz="8" w:space="0"/>
            </w:tcBorders>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外观</w:t>
            </w:r>
          </w:p>
        </w:tc>
        <w:tc>
          <w:tcPr>
            <w:tcW w:w="1524" w:type="dxa"/>
            <w:tcBorders>
              <w:top w:val="single" w:color="auto" w:sz="8" w:space="0"/>
            </w:tcBorders>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5</w:t>
            </w:r>
            <w:r>
              <w:rPr>
                <w:rFonts w:ascii="宋体" w:hAnsi="宋体"/>
                <w:color w:val="000000"/>
                <w:sz w:val="18"/>
                <w:szCs w:val="18"/>
              </w:rPr>
              <w:t>.1.1</w:t>
            </w:r>
            <w:r>
              <w:rPr>
                <w:rFonts w:hint="eastAsia" w:ascii="宋体" w:hAnsi="宋体"/>
                <w:color w:val="000000"/>
                <w:sz w:val="18"/>
                <w:szCs w:val="18"/>
              </w:rPr>
              <w:t>、5</w:t>
            </w:r>
            <w:r>
              <w:rPr>
                <w:rFonts w:ascii="宋体" w:hAnsi="宋体"/>
                <w:color w:val="000000"/>
                <w:sz w:val="18"/>
                <w:szCs w:val="18"/>
              </w:rPr>
              <w:t>.1.2</w:t>
            </w:r>
          </w:p>
        </w:tc>
        <w:tc>
          <w:tcPr>
            <w:tcW w:w="1350" w:type="dxa"/>
            <w:tcBorders>
              <w:top w:val="single" w:color="auto" w:sz="8" w:space="0"/>
            </w:tcBorders>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6</w:t>
            </w:r>
            <w:r>
              <w:rPr>
                <w:rFonts w:ascii="宋体" w:hAnsi="宋体"/>
                <w:color w:val="000000"/>
                <w:sz w:val="18"/>
                <w:szCs w:val="18"/>
              </w:rPr>
              <w:t>.1.1</w:t>
            </w:r>
            <w:r>
              <w:rPr>
                <w:rFonts w:hint="eastAsia" w:ascii="宋体" w:hAnsi="宋体"/>
                <w:color w:val="000000"/>
                <w:sz w:val="18"/>
                <w:szCs w:val="18"/>
              </w:rPr>
              <w:t>、6</w:t>
            </w:r>
            <w:r>
              <w:rPr>
                <w:rFonts w:ascii="宋体" w:hAnsi="宋体"/>
                <w:color w:val="000000"/>
                <w:sz w:val="18"/>
                <w:szCs w:val="18"/>
              </w:rPr>
              <w:t>.1.2</w:t>
            </w:r>
          </w:p>
        </w:tc>
        <w:tc>
          <w:tcPr>
            <w:tcW w:w="810" w:type="dxa"/>
            <w:tcBorders>
              <w:top w:val="single" w:color="auto" w:sz="8" w:space="0"/>
            </w:tcBorders>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c>
          <w:tcPr>
            <w:tcW w:w="810" w:type="dxa"/>
            <w:tcBorders>
              <w:top w:val="single" w:color="auto" w:sz="8" w:space="0"/>
            </w:tcBorders>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c>
          <w:tcPr>
            <w:tcW w:w="993" w:type="dxa"/>
            <w:tcBorders>
              <w:top w:val="single" w:color="auto" w:sz="8" w:space="0"/>
            </w:tcBorders>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44" w:hRule="atLeast"/>
          <w:jc w:val="center"/>
        </w:trPr>
        <w:tc>
          <w:tcPr>
            <w:tcW w:w="732"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2</w:t>
            </w:r>
          </w:p>
        </w:tc>
        <w:tc>
          <w:tcPr>
            <w:tcW w:w="1306" w:type="dxa"/>
            <w:vMerge w:val="continue"/>
            <w:shd w:val="clear" w:color="auto" w:fill="auto"/>
            <w:vAlign w:val="center"/>
          </w:tcPr>
          <w:p>
            <w:pPr>
              <w:spacing w:line="240" w:lineRule="auto"/>
              <w:jc w:val="center"/>
              <w:rPr>
                <w:rFonts w:ascii="宋体" w:hAnsi="宋体"/>
                <w:color w:val="000000"/>
                <w:sz w:val="18"/>
                <w:szCs w:val="18"/>
              </w:rPr>
            </w:pPr>
          </w:p>
        </w:tc>
        <w:tc>
          <w:tcPr>
            <w:tcW w:w="1307"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涂层厚度</w:t>
            </w:r>
          </w:p>
        </w:tc>
        <w:tc>
          <w:tcPr>
            <w:tcW w:w="1524"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5</w:t>
            </w:r>
            <w:r>
              <w:rPr>
                <w:rFonts w:ascii="宋体" w:hAnsi="宋体"/>
                <w:color w:val="000000"/>
                <w:sz w:val="18"/>
                <w:szCs w:val="18"/>
              </w:rPr>
              <w:t>.1.3</w:t>
            </w:r>
          </w:p>
        </w:tc>
        <w:tc>
          <w:tcPr>
            <w:tcW w:w="1350"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6</w:t>
            </w:r>
            <w:r>
              <w:rPr>
                <w:rFonts w:ascii="宋体" w:hAnsi="宋体"/>
                <w:color w:val="000000"/>
                <w:sz w:val="18"/>
                <w:szCs w:val="18"/>
              </w:rPr>
              <w:t>.1.3</w:t>
            </w:r>
          </w:p>
        </w:tc>
        <w:tc>
          <w:tcPr>
            <w:tcW w:w="810"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c>
          <w:tcPr>
            <w:tcW w:w="810"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c>
          <w:tcPr>
            <w:tcW w:w="993"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44" w:hRule="atLeast"/>
          <w:jc w:val="center"/>
        </w:trPr>
        <w:tc>
          <w:tcPr>
            <w:tcW w:w="732"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3</w:t>
            </w:r>
          </w:p>
        </w:tc>
        <w:tc>
          <w:tcPr>
            <w:tcW w:w="2613" w:type="dxa"/>
            <w:gridSpan w:val="2"/>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轴向间隙</w:t>
            </w:r>
          </w:p>
        </w:tc>
        <w:tc>
          <w:tcPr>
            <w:tcW w:w="1524"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5</w:t>
            </w:r>
            <w:r>
              <w:rPr>
                <w:rFonts w:ascii="宋体" w:hAnsi="宋体"/>
                <w:color w:val="000000"/>
                <w:sz w:val="18"/>
                <w:szCs w:val="18"/>
              </w:rPr>
              <w:t>.2</w:t>
            </w:r>
          </w:p>
        </w:tc>
        <w:tc>
          <w:tcPr>
            <w:tcW w:w="1350" w:type="dxa"/>
            <w:shd w:val="clear" w:color="auto" w:fill="auto"/>
            <w:vAlign w:val="center"/>
          </w:tcPr>
          <w:p>
            <w:pPr>
              <w:spacing w:line="240" w:lineRule="auto"/>
              <w:jc w:val="center"/>
              <w:rPr>
                <w:rFonts w:ascii="宋体" w:hAnsi="宋体"/>
                <w:color w:val="000000"/>
                <w:sz w:val="18"/>
                <w:szCs w:val="18"/>
              </w:rPr>
            </w:pPr>
            <w:r>
              <w:rPr>
                <w:rFonts w:ascii="宋体" w:hAnsi="宋体"/>
                <w:color w:val="000000"/>
                <w:sz w:val="18"/>
                <w:szCs w:val="18"/>
              </w:rPr>
              <w:t>6.2</w:t>
            </w:r>
          </w:p>
        </w:tc>
        <w:tc>
          <w:tcPr>
            <w:tcW w:w="810"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c>
          <w:tcPr>
            <w:tcW w:w="810" w:type="dxa"/>
            <w:shd w:val="clear" w:color="auto" w:fill="auto"/>
            <w:vAlign w:val="center"/>
          </w:tcPr>
          <w:p>
            <w:pPr>
              <w:spacing w:line="240" w:lineRule="auto"/>
              <w:jc w:val="center"/>
              <w:rPr>
                <w:rFonts w:ascii="宋体" w:hAnsi="宋体"/>
                <w:color w:val="000000"/>
                <w:sz w:val="18"/>
                <w:szCs w:val="18"/>
              </w:rPr>
            </w:pPr>
          </w:p>
        </w:tc>
        <w:tc>
          <w:tcPr>
            <w:tcW w:w="993"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44" w:hRule="atLeast"/>
          <w:jc w:val="center"/>
        </w:trPr>
        <w:tc>
          <w:tcPr>
            <w:tcW w:w="732"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4</w:t>
            </w:r>
          </w:p>
        </w:tc>
        <w:tc>
          <w:tcPr>
            <w:tcW w:w="2613" w:type="dxa"/>
            <w:gridSpan w:val="2"/>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旋转方向</w:t>
            </w:r>
          </w:p>
        </w:tc>
        <w:tc>
          <w:tcPr>
            <w:tcW w:w="1524"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5</w:t>
            </w:r>
            <w:r>
              <w:rPr>
                <w:rFonts w:ascii="宋体" w:hAnsi="宋体"/>
                <w:color w:val="000000"/>
                <w:sz w:val="18"/>
                <w:szCs w:val="18"/>
              </w:rPr>
              <w:t>.3</w:t>
            </w:r>
          </w:p>
        </w:tc>
        <w:tc>
          <w:tcPr>
            <w:tcW w:w="1350" w:type="dxa"/>
            <w:shd w:val="clear" w:color="auto" w:fill="auto"/>
            <w:vAlign w:val="center"/>
          </w:tcPr>
          <w:p>
            <w:pPr>
              <w:spacing w:line="240" w:lineRule="auto"/>
              <w:jc w:val="center"/>
              <w:rPr>
                <w:rFonts w:ascii="宋体" w:hAnsi="宋体"/>
                <w:color w:val="000000"/>
                <w:sz w:val="18"/>
                <w:szCs w:val="18"/>
              </w:rPr>
            </w:pPr>
            <w:r>
              <w:rPr>
                <w:rFonts w:ascii="宋体" w:hAnsi="宋体"/>
                <w:color w:val="000000"/>
                <w:sz w:val="18"/>
                <w:szCs w:val="18"/>
              </w:rPr>
              <w:t>6.3</w:t>
            </w:r>
          </w:p>
        </w:tc>
        <w:tc>
          <w:tcPr>
            <w:tcW w:w="810"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c>
          <w:tcPr>
            <w:tcW w:w="810"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c>
          <w:tcPr>
            <w:tcW w:w="993"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44" w:hRule="atLeast"/>
          <w:jc w:val="center"/>
        </w:trPr>
        <w:tc>
          <w:tcPr>
            <w:tcW w:w="732"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5</w:t>
            </w:r>
          </w:p>
        </w:tc>
        <w:tc>
          <w:tcPr>
            <w:tcW w:w="2613" w:type="dxa"/>
            <w:gridSpan w:val="2"/>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转速精度</w:t>
            </w:r>
          </w:p>
        </w:tc>
        <w:tc>
          <w:tcPr>
            <w:tcW w:w="1524" w:type="dxa"/>
            <w:shd w:val="clear" w:color="auto" w:fill="auto"/>
            <w:vAlign w:val="center"/>
          </w:tcPr>
          <w:p>
            <w:pPr>
              <w:spacing w:line="240" w:lineRule="auto"/>
              <w:jc w:val="center"/>
              <w:rPr>
                <w:rFonts w:ascii="宋体" w:hAnsi="宋体"/>
                <w:color w:val="000000"/>
                <w:sz w:val="18"/>
                <w:szCs w:val="18"/>
              </w:rPr>
            </w:pPr>
            <w:r>
              <w:rPr>
                <w:rFonts w:ascii="宋体" w:hAnsi="宋体"/>
                <w:color w:val="000000"/>
                <w:sz w:val="18"/>
                <w:szCs w:val="18"/>
              </w:rPr>
              <w:t>5.4</w:t>
            </w:r>
          </w:p>
        </w:tc>
        <w:tc>
          <w:tcPr>
            <w:tcW w:w="1350" w:type="dxa"/>
            <w:shd w:val="clear" w:color="auto" w:fill="auto"/>
            <w:vAlign w:val="center"/>
          </w:tcPr>
          <w:p>
            <w:pPr>
              <w:spacing w:line="240" w:lineRule="auto"/>
              <w:jc w:val="center"/>
              <w:rPr>
                <w:rFonts w:ascii="宋体" w:hAnsi="宋体"/>
                <w:color w:val="000000"/>
                <w:sz w:val="18"/>
                <w:szCs w:val="18"/>
              </w:rPr>
            </w:pPr>
            <w:r>
              <w:rPr>
                <w:rFonts w:ascii="宋体" w:hAnsi="宋体"/>
                <w:color w:val="000000"/>
                <w:sz w:val="18"/>
                <w:szCs w:val="18"/>
              </w:rPr>
              <w:t>6.4</w:t>
            </w:r>
          </w:p>
        </w:tc>
        <w:tc>
          <w:tcPr>
            <w:tcW w:w="810"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c>
          <w:tcPr>
            <w:tcW w:w="810"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c>
          <w:tcPr>
            <w:tcW w:w="993"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44" w:hRule="atLeast"/>
          <w:jc w:val="center"/>
        </w:trPr>
        <w:tc>
          <w:tcPr>
            <w:tcW w:w="732"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6</w:t>
            </w:r>
          </w:p>
        </w:tc>
        <w:tc>
          <w:tcPr>
            <w:tcW w:w="2613" w:type="dxa"/>
            <w:gridSpan w:val="2"/>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过载能力</w:t>
            </w:r>
          </w:p>
        </w:tc>
        <w:tc>
          <w:tcPr>
            <w:tcW w:w="1524" w:type="dxa"/>
            <w:shd w:val="clear" w:color="auto" w:fill="auto"/>
          </w:tcPr>
          <w:p>
            <w:pPr>
              <w:spacing w:line="240" w:lineRule="auto"/>
              <w:jc w:val="center"/>
              <w:rPr>
                <w:rFonts w:ascii="宋体" w:hAnsi="宋体"/>
                <w:color w:val="000000"/>
                <w:sz w:val="18"/>
                <w:szCs w:val="18"/>
              </w:rPr>
            </w:pPr>
            <w:r>
              <w:rPr>
                <w:rFonts w:hint="eastAsia" w:ascii="宋体" w:hAnsi="宋体"/>
                <w:color w:val="000000"/>
                <w:sz w:val="18"/>
                <w:szCs w:val="18"/>
              </w:rPr>
              <w:t>5</w:t>
            </w:r>
            <w:r>
              <w:rPr>
                <w:rFonts w:ascii="宋体" w:hAnsi="宋体"/>
                <w:color w:val="000000"/>
                <w:sz w:val="18"/>
                <w:szCs w:val="18"/>
              </w:rPr>
              <w:t>.5</w:t>
            </w:r>
          </w:p>
        </w:tc>
        <w:tc>
          <w:tcPr>
            <w:tcW w:w="1350" w:type="dxa"/>
            <w:shd w:val="clear" w:color="auto" w:fill="auto"/>
          </w:tcPr>
          <w:p>
            <w:pPr>
              <w:spacing w:line="240" w:lineRule="auto"/>
              <w:jc w:val="center"/>
              <w:rPr>
                <w:rFonts w:ascii="宋体" w:hAnsi="宋体"/>
                <w:color w:val="000000"/>
                <w:sz w:val="18"/>
                <w:szCs w:val="18"/>
              </w:rPr>
            </w:pPr>
            <w:r>
              <w:rPr>
                <w:rFonts w:ascii="宋体" w:hAnsi="宋体"/>
                <w:color w:val="000000"/>
                <w:sz w:val="18"/>
                <w:szCs w:val="18"/>
              </w:rPr>
              <w:t>6.5</w:t>
            </w:r>
          </w:p>
        </w:tc>
        <w:tc>
          <w:tcPr>
            <w:tcW w:w="810"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c>
          <w:tcPr>
            <w:tcW w:w="810"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c>
          <w:tcPr>
            <w:tcW w:w="993"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44" w:hRule="atLeast"/>
          <w:jc w:val="center"/>
        </w:trPr>
        <w:tc>
          <w:tcPr>
            <w:tcW w:w="732"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7</w:t>
            </w:r>
          </w:p>
        </w:tc>
        <w:tc>
          <w:tcPr>
            <w:tcW w:w="2613" w:type="dxa"/>
            <w:gridSpan w:val="2"/>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电动机效率</w:t>
            </w:r>
          </w:p>
        </w:tc>
        <w:tc>
          <w:tcPr>
            <w:tcW w:w="1524" w:type="dxa"/>
            <w:shd w:val="clear" w:color="auto" w:fill="auto"/>
          </w:tcPr>
          <w:p>
            <w:pPr>
              <w:spacing w:line="240" w:lineRule="auto"/>
              <w:jc w:val="center"/>
              <w:rPr>
                <w:rFonts w:ascii="宋体" w:hAnsi="宋体"/>
                <w:color w:val="000000"/>
                <w:sz w:val="18"/>
                <w:szCs w:val="18"/>
              </w:rPr>
            </w:pPr>
            <w:r>
              <w:rPr>
                <w:rFonts w:hint="eastAsia" w:ascii="宋体" w:hAnsi="宋体"/>
                <w:color w:val="000000"/>
                <w:sz w:val="18"/>
                <w:szCs w:val="18"/>
              </w:rPr>
              <w:t>5</w:t>
            </w:r>
            <w:r>
              <w:rPr>
                <w:rFonts w:ascii="宋体" w:hAnsi="宋体"/>
                <w:color w:val="000000"/>
                <w:sz w:val="18"/>
                <w:szCs w:val="18"/>
              </w:rPr>
              <w:t>.6</w:t>
            </w:r>
          </w:p>
        </w:tc>
        <w:tc>
          <w:tcPr>
            <w:tcW w:w="1350" w:type="dxa"/>
            <w:shd w:val="clear" w:color="auto" w:fill="auto"/>
          </w:tcPr>
          <w:p>
            <w:pPr>
              <w:spacing w:line="240" w:lineRule="auto"/>
              <w:jc w:val="center"/>
              <w:rPr>
                <w:rFonts w:ascii="宋体" w:hAnsi="宋体"/>
                <w:color w:val="000000"/>
                <w:sz w:val="18"/>
                <w:szCs w:val="18"/>
              </w:rPr>
            </w:pPr>
            <w:r>
              <w:rPr>
                <w:rFonts w:ascii="宋体" w:hAnsi="宋体"/>
                <w:color w:val="000000"/>
                <w:sz w:val="18"/>
                <w:szCs w:val="18"/>
              </w:rPr>
              <w:t>6.6</w:t>
            </w:r>
          </w:p>
        </w:tc>
        <w:tc>
          <w:tcPr>
            <w:tcW w:w="810"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c>
          <w:tcPr>
            <w:tcW w:w="810"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c>
          <w:tcPr>
            <w:tcW w:w="993"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44" w:hRule="atLeast"/>
          <w:jc w:val="center"/>
        </w:trPr>
        <w:tc>
          <w:tcPr>
            <w:tcW w:w="732" w:type="dxa"/>
            <w:shd w:val="clear" w:color="auto" w:fill="auto"/>
            <w:vAlign w:val="center"/>
          </w:tcPr>
          <w:p>
            <w:pPr>
              <w:spacing w:line="240" w:lineRule="auto"/>
              <w:jc w:val="center"/>
              <w:rPr>
                <w:rFonts w:ascii="宋体" w:hAnsi="宋体"/>
                <w:color w:val="000000"/>
                <w:sz w:val="18"/>
                <w:szCs w:val="18"/>
              </w:rPr>
            </w:pPr>
            <w:r>
              <w:rPr>
                <w:rFonts w:ascii="宋体" w:hAnsi="宋体"/>
                <w:color w:val="000000"/>
                <w:sz w:val="18"/>
                <w:szCs w:val="18"/>
              </w:rPr>
              <w:t>8</w:t>
            </w:r>
          </w:p>
        </w:tc>
        <w:tc>
          <w:tcPr>
            <w:tcW w:w="1306" w:type="dxa"/>
            <w:vMerge w:val="restart"/>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电气安全</w:t>
            </w:r>
          </w:p>
        </w:tc>
        <w:tc>
          <w:tcPr>
            <w:tcW w:w="1307"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绝缘电阻</w:t>
            </w:r>
          </w:p>
        </w:tc>
        <w:tc>
          <w:tcPr>
            <w:tcW w:w="1524" w:type="dxa"/>
            <w:shd w:val="clear" w:color="auto" w:fill="auto"/>
          </w:tcPr>
          <w:p>
            <w:pPr>
              <w:spacing w:line="240" w:lineRule="auto"/>
              <w:jc w:val="center"/>
              <w:rPr>
                <w:rFonts w:ascii="宋体" w:hAnsi="宋体"/>
                <w:color w:val="000000"/>
                <w:sz w:val="18"/>
                <w:szCs w:val="18"/>
              </w:rPr>
            </w:pPr>
            <w:r>
              <w:rPr>
                <w:rFonts w:hint="eastAsia" w:ascii="宋体" w:hAnsi="宋体"/>
                <w:color w:val="000000"/>
                <w:sz w:val="18"/>
                <w:szCs w:val="18"/>
              </w:rPr>
              <w:t>5</w:t>
            </w:r>
            <w:r>
              <w:rPr>
                <w:rFonts w:ascii="宋体" w:hAnsi="宋体"/>
                <w:color w:val="000000"/>
                <w:sz w:val="18"/>
                <w:szCs w:val="18"/>
              </w:rPr>
              <w:t>.7</w:t>
            </w:r>
          </w:p>
        </w:tc>
        <w:tc>
          <w:tcPr>
            <w:tcW w:w="1350" w:type="dxa"/>
            <w:shd w:val="clear" w:color="auto" w:fill="auto"/>
          </w:tcPr>
          <w:p>
            <w:pPr>
              <w:spacing w:line="240" w:lineRule="auto"/>
              <w:jc w:val="center"/>
              <w:rPr>
                <w:rFonts w:ascii="宋体" w:hAnsi="宋体"/>
                <w:color w:val="000000"/>
                <w:sz w:val="18"/>
                <w:szCs w:val="18"/>
              </w:rPr>
            </w:pPr>
            <w:r>
              <w:rPr>
                <w:rFonts w:ascii="宋体" w:hAnsi="宋体"/>
                <w:color w:val="000000"/>
                <w:sz w:val="18"/>
                <w:szCs w:val="18"/>
              </w:rPr>
              <w:t>6.7</w:t>
            </w:r>
          </w:p>
        </w:tc>
        <w:tc>
          <w:tcPr>
            <w:tcW w:w="810"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c>
          <w:tcPr>
            <w:tcW w:w="810"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c>
          <w:tcPr>
            <w:tcW w:w="993"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44" w:hRule="atLeast"/>
          <w:jc w:val="center"/>
        </w:trPr>
        <w:tc>
          <w:tcPr>
            <w:tcW w:w="732"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9</w:t>
            </w:r>
          </w:p>
        </w:tc>
        <w:tc>
          <w:tcPr>
            <w:tcW w:w="1306" w:type="dxa"/>
            <w:vMerge w:val="continue"/>
            <w:shd w:val="clear" w:color="auto" w:fill="auto"/>
            <w:vAlign w:val="center"/>
          </w:tcPr>
          <w:p>
            <w:pPr>
              <w:spacing w:line="240" w:lineRule="auto"/>
              <w:jc w:val="center"/>
              <w:rPr>
                <w:rFonts w:ascii="宋体" w:hAnsi="宋体"/>
                <w:color w:val="000000"/>
                <w:sz w:val="18"/>
                <w:szCs w:val="18"/>
              </w:rPr>
            </w:pPr>
          </w:p>
        </w:tc>
        <w:tc>
          <w:tcPr>
            <w:tcW w:w="1307"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电气强度</w:t>
            </w:r>
          </w:p>
        </w:tc>
        <w:tc>
          <w:tcPr>
            <w:tcW w:w="1524" w:type="dxa"/>
            <w:shd w:val="clear" w:color="auto" w:fill="auto"/>
          </w:tcPr>
          <w:p>
            <w:pPr>
              <w:spacing w:line="240" w:lineRule="auto"/>
              <w:jc w:val="center"/>
              <w:rPr>
                <w:rFonts w:ascii="宋体" w:hAnsi="宋体"/>
                <w:color w:val="000000"/>
                <w:sz w:val="18"/>
                <w:szCs w:val="18"/>
              </w:rPr>
            </w:pPr>
            <w:r>
              <w:rPr>
                <w:rFonts w:hint="eastAsia" w:ascii="宋体" w:hAnsi="宋体"/>
                <w:color w:val="000000"/>
                <w:sz w:val="18"/>
                <w:szCs w:val="18"/>
              </w:rPr>
              <w:t>5</w:t>
            </w:r>
            <w:r>
              <w:rPr>
                <w:rFonts w:ascii="宋体" w:hAnsi="宋体"/>
                <w:color w:val="000000"/>
                <w:sz w:val="18"/>
                <w:szCs w:val="18"/>
              </w:rPr>
              <w:t>.7</w:t>
            </w:r>
          </w:p>
        </w:tc>
        <w:tc>
          <w:tcPr>
            <w:tcW w:w="1350" w:type="dxa"/>
            <w:shd w:val="clear" w:color="auto" w:fill="auto"/>
          </w:tcPr>
          <w:p>
            <w:pPr>
              <w:spacing w:line="240" w:lineRule="auto"/>
              <w:jc w:val="center"/>
              <w:rPr>
                <w:rFonts w:ascii="宋体" w:hAnsi="宋体"/>
                <w:color w:val="000000"/>
                <w:sz w:val="18"/>
                <w:szCs w:val="18"/>
              </w:rPr>
            </w:pPr>
            <w:r>
              <w:rPr>
                <w:rFonts w:ascii="宋体" w:hAnsi="宋体"/>
                <w:color w:val="000000"/>
                <w:sz w:val="18"/>
                <w:szCs w:val="18"/>
              </w:rPr>
              <w:t>6.7</w:t>
            </w:r>
          </w:p>
        </w:tc>
        <w:tc>
          <w:tcPr>
            <w:tcW w:w="810"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c>
          <w:tcPr>
            <w:tcW w:w="810"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c>
          <w:tcPr>
            <w:tcW w:w="993"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44" w:hRule="atLeast"/>
          <w:jc w:val="center"/>
        </w:trPr>
        <w:tc>
          <w:tcPr>
            <w:tcW w:w="732"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10</w:t>
            </w:r>
          </w:p>
        </w:tc>
        <w:tc>
          <w:tcPr>
            <w:tcW w:w="1306" w:type="dxa"/>
            <w:vMerge w:val="continue"/>
            <w:shd w:val="clear" w:color="auto" w:fill="auto"/>
            <w:vAlign w:val="center"/>
          </w:tcPr>
          <w:p>
            <w:pPr>
              <w:spacing w:line="240" w:lineRule="auto"/>
              <w:jc w:val="center"/>
              <w:rPr>
                <w:rFonts w:ascii="宋体" w:hAnsi="宋体"/>
                <w:color w:val="000000"/>
                <w:sz w:val="18"/>
                <w:szCs w:val="18"/>
              </w:rPr>
            </w:pPr>
          </w:p>
        </w:tc>
        <w:tc>
          <w:tcPr>
            <w:tcW w:w="1307"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其他项目</w:t>
            </w:r>
          </w:p>
        </w:tc>
        <w:tc>
          <w:tcPr>
            <w:tcW w:w="1524" w:type="dxa"/>
            <w:shd w:val="clear" w:color="auto" w:fill="auto"/>
          </w:tcPr>
          <w:p>
            <w:pPr>
              <w:spacing w:line="240" w:lineRule="auto"/>
              <w:jc w:val="center"/>
              <w:rPr>
                <w:rFonts w:ascii="宋体" w:hAnsi="宋体"/>
                <w:color w:val="000000"/>
                <w:sz w:val="18"/>
                <w:szCs w:val="18"/>
              </w:rPr>
            </w:pPr>
            <w:r>
              <w:rPr>
                <w:rFonts w:hint="eastAsia" w:ascii="宋体" w:hAnsi="宋体"/>
                <w:color w:val="000000"/>
                <w:sz w:val="18"/>
                <w:szCs w:val="18"/>
              </w:rPr>
              <w:t>5</w:t>
            </w:r>
            <w:r>
              <w:rPr>
                <w:rFonts w:ascii="宋体" w:hAnsi="宋体"/>
                <w:color w:val="000000"/>
                <w:sz w:val="18"/>
                <w:szCs w:val="18"/>
              </w:rPr>
              <w:t>.7</w:t>
            </w:r>
          </w:p>
        </w:tc>
        <w:tc>
          <w:tcPr>
            <w:tcW w:w="1350" w:type="dxa"/>
            <w:shd w:val="clear" w:color="auto" w:fill="auto"/>
          </w:tcPr>
          <w:p>
            <w:pPr>
              <w:spacing w:line="240" w:lineRule="auto"/>
              <w:jc w:val="center"/>
              <w:rPr>
                <w:rFonts w:ascii="宋体" w:hAnsi="宋体"/>
                <w:color w:val="000000"/>
                <w:sz w:val="18"/>
                <w:szCs w:val="18"/>
              </w:rPr>
            </w:pPr>
            <w:r>
              <w:rPr>
                <w:rFonts w:ascii="宋体" w:hAnsi="宋体"/>
                <w:color w:val="000000"/>
                <w:sz w:val="18"/>
                <w:szCs w:val="18"/>
              </w:rPr>
              <w:t>6.7</w:t>
            </w:r>
          </w:p>
        </w:tc>
        <w:tc>
          <w:tcPr>
            <w:tcW w:w="810"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c>
          <w:tcPr>
            <w:tcW w:w="810"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c>
          <w:tcPr>
            <w:tcW w:w="993"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44" w:hRule="atLeast"/>
          <w:jc w:val="center"/>
        </w:trPr>
        <w:tc>
          <w:tcPr>
            <w:tcW w:w="732"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11</w:t>
            </w:r>
          </w:p>
        </w:tc>
        <w:tc>
          <w:tcPr>
            <w:tcW w:w="2613" w:type="dxa"/>
            <w:gridSpan w:val="2"/>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噪声</w:t>
            </w:r>
          </w:p>
        </w:tc>
        <w:tc>
          <w:tcPr>
            <w:tcW w:w="1524" w:type="dxa"/>
            <w:shd w:val="clear" w:color="auto" w:fill="auto"/>
          </w:tcPr>
          <w:p>
            <w:pPr>
              <w:spacing w:line="240" w:lineRule="auto"/>
              <w:jc w:val="center"/>
              <w:rPr>
                <w:rFonts w:ascii="宋体" w:hAnsi="宋体"/>
                <w:color w:val="000000"/>
                <w:sz w:val="18"/>
                <w:szCs w:val="18"/>
              </w:rPr>
            </w:pPr>
            <w:r>
              <w:rPr>
                <w:rFonts w:hint="eastAsia" w:ascii="宋体" w:hAnsi="宋体"/>
                <w:color w:val="000000"/>
                <w:sz w:val="18"/>
                <w:szCs w:val="18"/>
              </w:rPr>
              <w:t>5</w:t>
            </w:r>
            <w:r>
              <w:rPr>
                <w:rFonts w:ascii="宋体" w:hAnsi="宋体"/>
                <w:color w:val="000000"/>
                <w:sz w:val="18"/>
                <w:szCs w:val="18"/>
              </w:rPr>
              <w:t>.8</w:t>
            </w:r>
          </w:p>
        </w:tc>
        <w:tc>
          <w:tcPr>
            <w:tcW w:w="1350" w:type="dxa"/>
            <w:shd w:val="clear" w:color="auto" w:fill="auto"/>
          </w:tcPr>
          <w:p>
            <w:pPr>
              <w:spacing w:line="240" w:lineRule="auto"/>
              <w:jc w:val="center"/>
              <w:rPr>
                <w:rFonts w:ascii="宋体" w:hAnsi="宋体"/>
                <w:color w:val="000000"/>
                <w:sz w:val="18"/>
                <w:szCs w:val="18"/>
              </w:rPr>
            </w:pPr>
            <w:r>
              <w:rPr>
                <w:rFonts w:ascii="宋体" w:hAnsi="宋体"/>
                <w:color w:val="000000"/>
                <w:sz w:val="18"/>
                <w:szCs w:val="18"/>
              </w:rPr>
              <w:t>6.8</w:t>
            </w:r>
          </w:p>
        </w:tc>
        <w:tc>
          <w:tcPr>
            <w:tcW w:w="810"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c>
          <w:tcPr>
            <w:tcW w:w="810"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c>
          <w:tcPr>
            <w:tcW w:w="993"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44" w:hRule="atLeast"/>
          <w:jc w:val="center"/>
        </w:trPr>
        <w:tc>
          <w:tcPr>
            <w:tcW w:w="732"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12</w:t>
            </w:r>
          </w:p>
        </w:tc>
        <w:tc>
          <w:tcPr>
            <w:tcW w:w="2613" w:type="dxa"/>
            <w:gridSpan w:val="2"/>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温升</w:t>
            </w:r>
          </w:p>
        </w:tc>
        <w:tc>
          <w:tcPr>
            <w:tcW w:w="1524" w:type="dxa"/>
            <w:shd w:val="clear" w:color="auto" w:fill="auto"/>
          </w:tcPr>
          <w:p>
            <w:pPr>
              <w:spacing w:line="240" w:lineRule="auto"/>
              <w:jc w:val="center"/>
              <w:rPr>
                <w:rFonts w:ascii="宋体" w:hAnsi="宋体"/>
                <w:color w:val="000000"/>
                <w:sz w:val="18"/>
                <w:szCs w:val="18"/>
              </w:rPr>
            </w:pPr>
            <w:r>
              <w:rPr>
                <w:rFonts w:hint="eastAsia" w:ascii="宋体" w:hAnsi="宋体"/>
                <w:color w:val="000000"/>
                <w:sz w:val="18"/>
                <w:szCs w:val="18"/>
              </w:rPr>
              <w:t>5</w:t>
            </w:r>
            <w:r>
              <w:rPr>
                <w:rFonts w:ascii="宋体" w:hAnsi="宋体"/>
                <w:color w:val="000000"/>
                <w:sz w:val="18"/>
                <w:szCs w:val="18"/>
              </w:rPr>
              <w:t>.9</w:t>
            </w:r>
          </w:p>
        </w:tc>
        <w:tc>
          <w:tcPr>
            <w:tcW w:w="1350" w:type="dxa"/>
            <w:shd w:val="clear" w:color="auto" w:fill="auto"/>
          </w:tcPr>
          <w:p>
            <w:pPr>
              <w:spacing w:line="240" w:lineRule="auto"/>
              <w:jc w:val="center"/>
              <w:rPr>
                <w:rFonts w:ascii="宋体" w:hAnsi="宋体"/>
                <w:color w:val="000000"/>
                <w:sz w:val="18"/>
                <w:szCs w:val="18"/>
              </w:rPr>
            </w:pPr>
            <w:r>
              <w:rPr>
                <w:rFonts w:ascii="宋体" w:hAnsi="宋体"/>
                <w:color w:val="000000"/>
                <w:sz w:val="18"/>
                <w:szCs w:val="18"/>
              </w:rPr>
              <w:t>6.9</w:t>
            </w:r>
          </w:p>
        </w:tc>
        <w:tc>
          <w:tcPr>
            <w:tcW w:w="810"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c>
          <w:tcPr>
            <w:tcW w:w="810"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c>
          <w:tcPr>
            <w:tcW w:w="993"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44" w:hRule="atLeast"/>
          <w:jc w:val="center"/>
        </w:trPr>
        <w:tc>
          <w:tcPr>
            <w:tcW w:w="732"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13</w:t>
            </w:r>
          </w:p>
        </w:tc>
        <w:tc>
          <w:tcPr>
            <w:tcW w:w="1306" w:type="dxa"/>
            <w:vMerge w:val="restart"/>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环境适应性</w:t>
            </w:r>
          </w:p>
        </w:tc>
        <w:tc>
          <w:tcPr>
            <w:tcW w:w="1307"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盐雾试验</w:t>
            </w:r>
          </w:p>
        </w:tc>
        <w:tc>
          <w:tcPr>
            <w:tcW w:w="1524" w:type="dxa"/>
            <w:shd w:val="clear" w:color="auto" w:fill="auto"/>
          </w:tcPr>
          <w:p>
            <w:pPr>
              <w:spacing w:line="240" w:lineRule="auto"/>
              <w:jc w:val="center"/>
              <w:rPr>
                <w:rFonts w:ascii="宋体" w:hAnsi="宋体"/>
                <w:color w:val="000000"/>
                <w:sz w:val="18"/>
                <w:szCs w:val="18"/>
              </w:rPr>
            </w:pPr>
            <w:r>
              <w:rPr>
                <w:rFonts w:hint="eastAsia" w:ascii="宋体" w:hAnsi="宋体"/>
                <w:color w:val="000000"/>
                <w:sz w:val="18"/>
                <w:szCs w:val="18"/>
              </w:rPr>
              <w:t>5</w:t>
            </w:r>
            <w:r>
              <w:rPr>
                <w:rFonts w:ascii="宋体" w:hAnsi="宋体"/>
                <w:color w:val="000000"/>
                <w:sz w:val="18"/>
                <w:szCs w:val="18"/>
              </w:rPr>
              <w:t>.10.1</w:t>
            </w:r>
          </w:p>
        </w:tc>
        <w:tc>
          <w:tcPr>
            <w:tcW w:w="1350" w:type="dxa"/>
            <w:shd w:val="clear" w:color="auto" w:fill="auto"/>
          </w:tcPr>
          <w:p>
            <w:pPr>
              <w:spacing w:line="240" w:lineRule="auto"/>
              <w:jc w:val="center"/>
              <w:rPr>
                <w:rFonts w:ascii="宋体" w:hAnsi="宋体"/>
                <w:color w:val="000000"/>
                <w:sz w:val="18"/>
                <w:szCs w:val="18"/>
              </w:rPr>
            </w:pPr>
            <w:r>
              <w:rPr>
                <w:rFonts w:ascii="宋体" w:hAnsi="宋体"/>
                <w:color w:val="000000"/>
                <w:sz w:val="18"/>
                <w:szCs w:val="18"/>
              </w:rPr>
              <w:t>6.10.1</w:t>
            </w:r>
          </w:p>
        </w:tc>
        <w:tc>
          <w:tcPr>
            <w:tcW w:w="810"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c>
          <w:tcPr>
            <w:tcW w:w="810"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c>
          <w:tcPr>
            <w:tcW w:w="993"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44" w:hRule="atLeast"/>
          <w:jc w:val="center"/>
        </w:trPr>
        <w:tc>
          <w:tcPr>
            <w:tcW w:w="732"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14</w:t>
            </w:r>
          </w:p>
        </w:tc>
        <w:tc>
          <w:tcPr>
            <w:tcW w:w="1306" w:type="dxa"/>
            <w:vMerge w:val="continue"/>
            <w:shd w:val="clear" w:color="auto" w:fill="auto"/>
            <w:vAlign w:val="center"/>
          </w:tcPr>
          <w:p>
            <w:pPr>
              <w:spacing w:line="240" w:lineRule="auto"/>
              <w:jc w:val="center"/>
              <w:rPr>
                <w:rFonts w:ascii="宋体" w:hAnsi="宋体"/>
                <w:color w:val="000000"/>
                <w:sz w:val="18"/>
                <w:szCs w:val="18"/>
              </w:rPr>
            </w:pPr>
          </w:p>
        </w:tc>
        <w:tc>
          <w:tcPr>
            <w:tcW w:w="1307"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高温试验</w:t>
            </w:r>
          </w:p>
        </w:tc>
        <w:tc>
          <w:tcPr>
            <w:tcW w:w="1524"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5</w:t>
            </w:r>
            <w:r>
              <w:rPr>
                <w:rFonts w:ascii="宋体" w:hAnsi="宋体"/>
                <w:color w:val="000000"/>
                <w:sz w:val="18"/>
                <w:szCs w:val="18"/>
              </w:rPr>
              <w:t>.10.2</w:t>
            </w:r>
          </w:p>
        </w:tc>
        <w:tc>
          <w:tcPr>
            <w:tcW w:w="1350" w:type="dxa"/>
            <w:shd w:val="clear" w:color="auto" w:fill="auto"/>
            <w:vAlign w:val="center"/>
          </w:tcPr>
          <w:p>
            <w:pPr>
              <w:spacing w:line="240" w:lineRule="auto"/>
              <w:jc w:val="center"/>
              <w:rPr>
                <w:rFonts w:ascii="宋体" w:hAnsi="宋体"/>
                <w:color w:val="000000"/>
                <w:sz w:val="18"/>
                <w:szCs w:val="18"/>
              </w:rPr>
            </w:pPr>
            <w:r>
              <w:rPr>
                <w:rFonts w:ascii="宋体" w:hAnsi="宋体"/>
                <w:color w:val="000000"/>
                <w:sz w:val="18"/>
                <w:szCs w:val="18"/>
              </w:rPr>
              <w:t>6.10.2</w:t>
            </w:r>
          </w:p>
        </w:tc>
        <w:tc>
          <w:tcPr>
            <w:tcW w:w="810"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c>
          <w:tcPr>
            <w:tcW w:w="810"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c>
          <w:tcPr>
            <w:tcW w:w="993"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44" w:hRule="atLeast"/>
          <w:jc w:val="center"/>
        </w:trPr>
        <w:tc>
          <w:tcPr>
            <w:tcW w:w="732"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15</w:t>
            </w:r>
          </w:p>
        </w:tc>
        <w:tc>
          <w:tcPr>
            <w:tcW w:w="1306" w:type="dxa"/>
            <w:vMerge w:val="continue"/>
            <w:shd w:val="clear" w:color="auto" w:fill="auto"/>
            <w:vAlign w:val="center"/>
          </w:tcPr>
          <w:p>
            <w:pPr>
              <w:spacing w:line="240" w:lineRule="auto"/>
              <w:jc w:val="center"/>
              <w:rPr>
                <w:rFonts w:ascii="宋体" w:hAnsi="宋体"/>
                <w:color w:val="000000"/>
                <w:sz w:val="18"/>
                <w:szCs w:val="18"/>
              </w:rPr>
            </w:pPr>
          </w:p>
        </w:tc>
        <w:tc>
          <w:tcPr>
            <w:tcW w:w="1307"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低温试验</w:t>
            </w:r>
          </w:p>
        </w:tc>
        <w:tc>
          <w:tcPr>
            <w:tcW w:w="1524"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5</w:t>
            </w:r>
            <w:r>
              <w:rPr>
                <w:rFonts w:ascii="宋体" w:hAnsi="宋体"/>
                <w:color w:val="000000"/>
                <w:sz w:val="18"/>
                <w:szCs w:val="18"/>
              </w:rPr>
              <w:t>.10.3</w:t>
            </w:r>
          </w:p>
        </w:tc>
        <w:tc>
          <w:tcPr>
            <w:tcW w:w="1350" w:type="dxa"/>
            <w:shd w:val="clear" w:color="auto" w:fill="auto"/>
            <w:vAlign w:val="center"/>
          </w:tcPr>
          <w:p>
            <w:pPr>
              <w:spacing w:line="240" w:lineRule="auto"/>
              <w:jc w:val="center"/>
              <w:rPr>
                <w:rFonts w:ascii="宋体" w:hAnsi="宋体"/>
                <w:color w:val="000000"/>
                <w:sz w:val="18"/>
                <w:szCs w:val="18"/>
              </w:rPr>
            </w:pPr>
            <w:r>
              <w:rPr>
                <w:rFonts w:ascii="宋体" w:hAnsi="宋体"/>
                <w:color w:val="000000"/>
                <w:sz w:val="18"/>
                <w:szCs w:val="18"/>
              </w:rPr>
              <w:t>6.10.3</w:t>
            </w:r>
          </w:p>
        </w:tc>
        <w:tc>
          <w:tcPr>
            <w:tcW w:w="810"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c>
          <w:tcPr>
            <w:tcW w:w="810"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c>
          <w:tcPr>
            <w:tcW w:w="993"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44" w:hRule="atLeast"/>
          <w:jc w:val="center"/>
        </w:trPr>
        <w:tc>
          <w:tcPr>
            <w:tcW w:w="732"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16</w:t>
            </w:r>
          </w:p>
        </w:tc>
        <w:tc>
          <w:tcPr>
            <w:tcW w:w="1306" w:type="dxa"/>
            <w:vMerge w:val="continue"/>
            <w:shd w:val="clear" w:color="auto" w:fill="auto"/>
            <w:vAlign w:val="center"/>
          </w:tcPr>
          <w:p>
            <w:pPr>
              <w:spacing w:line="240" w:lineRule="auto"/>
              <w:jc w:val="center"/>
              <w:rPr>
                <w:rFonts w:ascii="宋体" w:hAnsi="宋体"/>
                <w:color w:val="000000"/>
                <w:sz w:val="18"/>
                <w:szCs w:val="18"/>
              </w:rPr>
            </w:pPr>
          </w:p>
        </w:tc>
        <w:tc>
          <w:tcPr>
            <w:tcW w:w="1307"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振动试验</w:t>
            </w:r>
          </w:p>
        </w:tc>
        <w:tc>
          <w:tcPr>
            <w:tcW w:w="1524"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5</w:t>
            </w:r>
            <w:r>
              <w:rPr>
                <w:rFonts w:ascii="宋体" w:hAnsi="宋体"/>
                <w:color w:val="000000"/>
                <w:sz w:val="18"/>
                <w:szCs w:val="18"/>
              </w:rPr>
              <w:t>.10.4</w:t>
            </w:r>
          </w:p>
        </w:tc>
        <w:tc>
          <w:tcPr>
            <w:tcW w:w="1350" w:type="dxa"/>
            <w:shd w:val="clear" w:color="auto" w:fill="auto"/>
            <w:vAlign w:val="center"/>
          </w:tcPr>
          <w:p>
            <w:pPr>
              <w:spacing w:line="240" w:lineRule="auto"/>
              <w:jc w:val="center"/>
              <w:rPr>
                <w:rFonts w:ascii="宋体" w:hAnsi="宋体"/>
                <w:color w:val="000000"/>
                <w:sz w:val="18"/>
                <w:szCs w:val="18"/>
              </w:rPr>
            </w:pPr>
            <w:r>
              <w:rPr>
                <w:rFonts w:ascii="宋体" w:hAnsi="宋体"/>
                <w:color w:val="000000"/>
                <w:sz w:val="18"/>
                <w:szCs w:val="18"/>
              </w:rPr>
              <w:t>6.10.4</w:t>
            </w:r>
          </w:p>
        </w:tc>
        <w:tc>
          <w:tcPr>
            <w:tcW w:w="810"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c>
          <w:tcPr>
            <w:tcW w:w="810"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c>
          <w:tcPr>
            <w:tcW w:w="993"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44" w:hRule="atLeast"/>
          <w:jc w:val="center"/>
        </w:trPr>
        <w:tc>
          <w:tcPr>
            <w:tcW w:w="732"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1</w:t>
            </w:r>
            <w:r>
              <w:rPr>
                <w:rFonts w:ascii="宋体" w:hAnsi="宋体"/>
                <w:color w:val="000000"/>
                <w:sz w:val="18"/>
                <w:szCs w:val="18"/>
              </w:rPr>
              <w:t>7</w:t>
            </w:r>
          </w:p>
        </w:tc>
        <w:tc>
          <w:tcPr>
            <w:tcW w:w="2613" w:type="dxa"/>
            <w:gridSpan w:val="2"/>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电磁兼容性</w:t>
            </w:r>
          </w:p>
        </w:tc>
        <w:tc>
          <w:tcPr>
            <w:tcW w:w="1524"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5</w:t>
            </w:r>
            <w:r>
              <w:rPr>
                <w:rFonts w:ascii="宋体" w:hAnsi="宋体"/>
                <w:color w:val="000000"/>
                <w:sz w:val="18"/>
                <w:szCs w:val="18"/>
              </w:rPr>
              <w:t>.11</w:t>
            </w:r>
          </w:p>
        </w:tc>
        <w:tc>
          <w:tcPr>
            <w:tcW w:w="1350" w:type="dxa"/>
            <w:shd w:val="clear" w:color="auto" w:fill="auto"/>
            <w:vAlign w:val="center"/>
          </w:tcPr>
          <w:p>
            <w:pPr>
              <w:spacing w:line="240" w:lineRule="auto"/>
              <w:jc w:val="center"/>
              <w:rPr>
                <w:rFonts w:ascii="宋体" w:hAnsi="宋体"/>
                <w:color w:val="000000"/>
                <w:sz w:val="18"/>
                <w:szCs w:val="18"/>
              </w:rPr>
            </w:pPr>
            <w:r>
              <w:rPr>
                <w:rFonts w:ascii="宋体" w:hAnsi="宋体"/>
                <w:color w:val="000000"/>
                <w:sz w:val="18"/>
                <w:szCs w:val="18"/>
              </w:rPr>
              <w:t>6.11</w:t>
            </w:r>
          </w:p>
        </w:tc>
        <w:tc>
          <w:tcPr>
            <w:tcW w:w="810"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c>
          <w:tcPr>
            <w:tcW w:w="810"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c>
          <w:tcPr>
            <w:tcW w:w="993" w:type="dxa"/>
            <w:shd w:val="clear" w:color="auto" w:fill="auto"/>
            <w:vAlign w:val="center"/>
          </w:tcPr>
          <w:p>
            <w:pPr>
              <w:spacing w:line="240" w:lineRule="auto"/>
              <w:jc w:val="center"/>
              <w:rPr>
                <w:rFonts w:ascii="宋体" w:hAnsi="宋体"/>
                <w:color w:val="000000"/>
                <w:sz w:val="18"/>
                <w:szCs w:val="18"/>
              </w:rPr>
            </w:pPr>
            <w:r>
              <w:rPr>
                <w:rFonts w:hint="eastAsia" w:ascii="宋体" w:hAnsi="宋体"/>
                <w:color w:val="000000"/>
                <w:sz w:val="18"/>
                <w:szCs w:val="18"/>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44" w:hRule="atLeast"/>
          <w:jc w:val="center"/>
        </w:trPr>
        <w:tc>
          <w:tcPr>
            <w:tcW w:w="8832" w:type="dxa"/>
            <w:gridSpan w:val="8"/>
            <w:tcBorders>
              <w:top w:val="single" w:color="auto" w:sz="8" w:space="0"/>
              <w:bottom w:val="single" w:color="auto" w:sz="8" w:space="0"/>
            </w:tcBorders>
            <w:shd w:val="clear" w:color="auto" w:fill="auto"/>
            <w:vAlign w:val="center"/>
          </w:tcPr>
          <w:p>
            <w:pPr>
              <w:pStyle w:val="180"/>
            </w:pPr>
            <w:r>
              <w:rPr>
                <w:rFonts w:hint="eastAsia"/>
              </w:rPr>
              <w:t>“√”表示要进行的检验项目，“×”表示不进行的检验项目。</w:t>
            </w:r>
          </w:p>
        </w:tc>
      </w:tr>
    </w:tbl>
    <w:p>
      <w:pPr>
        <w:pStyle w:val="105"/>
        <w:spacing w:before="240" w:after="240"/>
      </w:pPr>
      <w:bookmarkStart w:id="159" w:name="_Toc107511393"/>
      <w:bookmarkStart w:id="160" w:name="_Toc112076716"/>
      <w:bookmarkStart w:id="161" w:name="_Toc112912954"/>
      <w:bookmarkStart w:id="162" w:name="_Toc129333993"/>
      <w:bookmarkStart w:id="163" w:name="_Toc129334006"/>
      <w:bookmarkStart w:id="164" w:name="_Toc129701649"/>
      <w:bookmarkStart w:id="165" w:name="_Toc107511298"/>
      <w:r>
        <w:rPr>
          <w:rFonts w:hint="eastAsia"/>
        </w:rPr>
        <w:t>标志、包装、运输和贮存</w:t>
      </w:r>
      <w:bookmarkEnd w:id="159"/>
      <w:bookmarkEnd w:id="160"/>
      <w:bookmarkEnd w:id="161"/>
      <w:bookmarkEnd w:id="162"/>
      <w:bookmarkEnd w:id="163"/>
      <w:bookmarkEnd w:id="164"/>
      <w:bookmarkEnd w:id="165"/>
    </w:p>
    <w:p>
      <w:pPr>
        <w:pStyle w:val="106"/>
        <w:spacing w:before="120" w:after="120"/>
      </w:pPr>
      <w:bookmarkStart w:id="166" w:name="_Toc104912465"/>
      <w:bookmarkStart w:id="167" w:name="_Toc104895573"/>
      <w:bookmarkStart w:id="168" w:name="_Toc105405850"/>
      <w:bookmarkStart w:id="169" w:name="_Toc104903884"/>
      <w:bookmarkStart w:id="170" w:name="_Toc129333994"/>
      <w:r>
        <w:rPr>
          <w:rFonts w:hint="eastAsia"/>
        </w:rPr>
        <w:t>标志</w:t>
      </w:r>
      <w:bookmarkEnd w:id="166"/>
      <w:bookmarkEnd w:id="167"/>
      <w:bookmarkEnd w:id="168"/>
      <w:bookmarkEnd w:id="169"/>
      <w:bookmarkEnd w:id="170"/>
    </w:p>
    <w:p>
      <w:pPr>
        <w:pStyle w:val="66"/>
        <w:spacing w:before="120" w:after="120"/>
      </w:pPr>
      <w:r>
        <w:rPr>
          <w:rFonts w:hint="eastAsia"/>
        </w:rPr>
        <w:t>产品标志</w:t>
      </w:r>
    </w:p>
    <w:p>
      <w:pPr>
        <w:pStyle w:val="57"/>
        <w:ind w:firstLine="420"/>
      </w:pPr>
      <w:r>
        <w:rPr>
          <w:rFonts w:hint="eastAsia"/>
        </w:rPr>
        <w:t>电动机铭牌应标明的项目如下：</w:t>
      </w:r>
    </w:p>
    <w:p>
      <w:pPr>
        <w:pStyle w:val="175"/>
        <w:numPr>
          <w:ilvl w:val="0"/>
          <w:numId w:val="33"/>
        </w:numPr>
      </w:pPr>
      <w:r>
        <w:rPr>
          <w:rFonts w:hint="eastAsia"/>
        </w:rPr>
        <w:t>电动机型号；</w:t>
      </w:r>
    </w:p>
    <w:p>
      <w:pPr>
        <w:pStyle w:val="175"/>
      </w:pPr>
      <w:r>
        <w:rPr>
          <w:rFonts w:hint="eastAsia"/>
        </w:rPr>
        <w:t>额定电压，</w:t>
      </w:r>
      <w:r>
        <w:t>V</w:t>
      </w:r>
      <w:r>
        <w:rPr>
          <w:rFonts w:hint="eastAsia"/>
        </w:rPr>
        <w:t>；</w:t>
      </w:r>
    </w:p>
    <w:p>
      <w:pPr>
        <w:pStyle w:val="175"/>
      </w:pPr>
      <w:r>
        <w:rPr>
          <w:rFonts w:hint="eastAsia"/>
        </w:rPr>
        <w:t>额定电流，</w:t>
      </w:r>
      <w:r>
        <w:t>A</w:t>
      </w:r>
      <w:r>
        <w:rPr>
          <w:rFonts w:hint="eastAsia"/>
        </w:rPr>
        <w:t>；</w:t>
      </w:r>
    </w:p>
    <w:p>
      <w:pPr>
        <w:pStyle w:val="175"/>
      </w:pPr>
      <w:r>
        <w:rPr>
          <w:rFonts w:hint="eastAsia"/>
        </w:rPr>
        <w:t>额定转速，</w:t>
      </w:r>
      <w:r>
        <w:t>r/min</w:t>
      </w:r>
      <w:r>
        <w:rPr>
          <w:rFonts w:hint="eastAsia"/>
        </w:rPr>
        <w:t>；</w:t>
      </w:r>
    </w:p>
    <w:p>
      <w:pPr>
        <w:pStyle w:val="175"/>
      </w:pPr>
      <w:r>
        <w:rPr>
          <w:rFonts w:hint="eastAsia"/>
        </w:rPr>
        <w:t>额定功率，</w:t>
      </w:r>
      <w:r>
        <w:t>W</w:t>
      </w:r>
      <w:r>
        <w:rPr>
          <w:rFonts w:hint="eastAsia"/>
        </w:rPr>
        <w:t>；</w:t>
      </w:r>
    </w:p>
    <w:p>
      <w:pPr>
        <w:pStyle w:val="175"/>
      </w:pPr>
      <w:r>
        <w:rPr>
          <w:rFonts w:hint="eastAsia"/>
        </w:rPr>
        <w:t>绝缘等级；</w:t>
      </w:r>
    </w:p>
    <w:p>
      <w:pPr>
        <w:pStyle w:val="175"/>
      </w:pPr>
      <w:r>
        <w:rPr>
          <w:rFonts w:hint="eastAsia"/>
        </w:rPr>
        <w:t>制造商或注册商标。</w:t>
      </w:r>
    </w:p>
    <w:p>
      <w:pPr>
        <w:pStyle w:val="66"/>
        <w:spacing w:before="120" w:after="120"/>
      </w:pPr>
      <w:r>
        <w:rPr>
          <w:rFonts w:hint="eastAsia"/>
        </w:rPr>
        <w:t>包装标志</w:t>
      </w:r>
    </w:p>
    <w:p>
      <w:pPr>
        <w:pStyle w:val="57"/>
        <w:ind w:firstLine="420"/>
      </w:pPr>
      <w:r>
        <w:rPr>
          <w:rFonts w:hint="eastAsia"/>
        </w:rPr>
        <w:t>包装箱外壁的文字和标志应清楚整齐，内容如下：</w:t>
      </w:r>
    </w:p>
    <w:p>
      <w:pPr>
        <w:pStyle w:val="175"/>
        <w:numPr>
          <w:ilvl w:val="0"/>
          <w:numId w:val="34"/>
        </w:numPr>
      </w:pPr>
      <w:r>
        <w:rPr>
          <w:rFonts w:hint="eastAsia"/>
        </w:rPr>
        <w:t>制造商名称、地址；</w:t>
      </w:r>
    </w:p>
    <w:p>
      <w:pPr>
        <w:pStyle w:val="175"/>
      </w:pPr>
      <w:r>
        <w:rPr>
          <w:rFonts w:hint="eastAsia"/>
        </w:rPr>
        <w:t>型号、规格、数量；</w:t>
      </w:r>
    </w:p>
    <w:p>
      <w:pPr>
        <w:pStyle w:val="175"/>
      </w:pPr>
      <w:r>
        <w:rPr>
          <w:rFonts w:hint="eastAsia"/>
        </w:rPr>
        <w:t>毛重、体积；</w:t>
      </w:r>
    </w:p>
    <w:p>
      <w:pPr>
        <w:pStyle w:val="175"/>
      </w:pPr>
      <w:r>
        <w:rPr>
          <w:rFonts w:hint="eastAsia"/>
        </w:rPr>
        <w:t>制造日期；</w:t>
      </w:r>
    </w:p>
    <w:p>
      <w:pPr>
        <w:pStyle w:val="175"/>
      </w:pPr>
      <w:r>
        <w:rPr>
          <w:rFonts w:hint="eastAsia"/>
        </w:rPr>
        <w:t>执行标准；</w:t>
      </w:r>
    </w:p>
    <w:p>
      <w:pPr>
        <w:pStyle w:val="175"/>
      </w:pPr>
      <w:r>
        <w:rPr>
          <w:rFonts w:hint="eastAsia"/>
        </w:rPr>
        <w:t>“小心轻放”“防雨”“防潮”等运输标志，其图形应符合GB/T 191的规定。</w:t>
      </w:r>
    </w:p>
    <w:p>
      <w:pPr>
        <w:pStyle w:val="106"/>
        <w:spacing w:before="120" w:after="120"/>
      </w:pPr>
      <w:bookmarkStart w:id="171" w:name="_Toc129333995"/>
      <w:r>
        <w:rPr>
          <w:rFonts w:hint="eastAsia"/>
        </w:rPr>
        <w:t>包装</w:t>
      </w:r>
      <w:bookmarkEnd w:id="171"/>
    </w:p>
    <w:p>
      <w:pPr>
        <w:pStyle w:val="166"/>
      </w:pPr>
      <w:r>
        <w:rPr>
          <w:rFonts w:hint="eastAsia"/>
        </w:rPr>
        <w:t>电动机的轴伸键应绑扎在轴上。轴伸及键表面应加防锈及保护措施。</w:t>
      </w:r>
    </w:p>
    <w:p>
      <w:pPr>
        <w:pStyle w:val="166"/>
      </w:pPr>
      <w:r>
        <w:rPr>
          <w:rFonts w:hint="eastAsia" w:hAnsi="Calibri"/>
          <w:szCs w:val="21"/>
        </w:rPr>
        <w:t>电动机的包装应牢固可靠，有防振、防潮措施，应能保证在正常储存条件下，自发货之日起，一年时间内不致因包装不善而导致受潮及损坏。</w:t>
      </w:r>
    </w:p>
    <w:p>
      <w:pPr>
        <w:pStyle w:val="166"/>
      </w:pPr>
      <w:r>
        <w:rPr>
          <w:rFonts w:hint="eastAsia"/>
        </w:rPr>
        <w:t>包装箱内应附有下列文件：</w:t>
      </w:r>
    </w:p>
    <w:p>
      <w:pPr>
        <w:pStyle w:val="175"/>
        <w:numPr>
          <w:ilvl w:val="0"/>
          <w:numId w:val="35"/>
        </w:numPr>
      </w:pPr>
      <w:r>
        <w:rPr>
          <w:rFonts w:hint="eastAsia"/>
        </w:rPr>
        <w:t>产品合格证；</w:t>
      </w:r>
    </w:p>
    <w:p>
      <w:pPr>
        <w:pStyle w:val="175"/>
      </w:pPr>
      <w:r>
        <w:rPr>
          <w:rFonts w:hint="eastAsia"/>
        </w:rPr>
        <w:t>使用维护说明书（同一用户同一型号的一批电动机至少一份）。</w:t>
      </w:r>
    </w:p>
    <w:p>
      <w:pPr>
        <w:pStyle w:val="106"/>
        <w:spacing w:before="120" w:after="120"/>
      </w:pPr>
      <w:bookmarkStart w:id="172" w:name="_Toc104895575"/>
      <w:bookmarkStart w:id="173" w:name="_Toc104903886"/>
      <w:bookmarkStart w:id="174" w:name="_Toc104912467"/>
      <w:bookmarkStart w:id="175" w:name="_Toc105405852"/>
      <w:bookmarkStart w:id="176" w:name="_Toc129333996"/>
      <w:r>
        <w:rPr>
          <w:rFonts w:hint="eastAsia"/>
        </w:rPr>
        <w:t>运输</w:t>
      </w:r>
      <w:bookmarkEnd w:id="172"/>
      <w:bookmarkEnd w:id="173"/>
      <w:bookmarkEnd w:id="174"/>
      <w:bookmarkEnd w:id="175"/>
      <w:bookmarkEnd w:id="176"/>
    </w:p>
    <w:p>
      <w:pPr>
        <w:pStyle w:val="237"/>
        <w:ind w:firstLine="420" w:firstLineChars="200"/>
      </w:pPr>
      <w:r>
        <w:rPr>
          <w:rFonts w:hint="eastAsia"/>
        </w:rPr>
        <w:t>产品在运输过程中防止碰撞、摔打、敲击和雨淋,不应与酸碱等腐蚀性物质放在一起。</w:t>
      </w:r>
    </w:p>
    <w:p>
      <w:pPr>
        <w:pStyle w:val="106"/>
        <w:spacing w:before="120" w:after="120"/>
      </w:pPr>
      <w:bookmarkStart w:id="177" w:name="_Toc104895576"/>
      <w:bookmarkStart w:id="178" w:name="_Toc104903887"/>
      <w:bookmarkStart w:id="179" w:name="_Toc104912468"/>
      <w:bookmarkStart w:id="180" w:name="_Toc105405853"/>
      <w:bookmarkStart w:id="181" w:name="_Toc129333997"/>
      <w:r>
        <w:rPr>
          <w:rFonts w:hint="eastAsia"/>
        </w:rPr>
        <w:t>贮存</w:t>
      </w:r>
      <w:bookmarkEnd w:id="177"/>
      <w:bookmarkEnd w:id="178"/>
      <w:bookmarkEnd w:id="179"/>
      <w:bookmarkEnd w:id="180"/>
      <w:bookmarkEnd w:id="181"/>
    </w:p>
    <w:p>
      <w:pPr>
        <w:pStyle w:val="57"/>
        <w:ind w:firstLine="420"/>
      </w:pPr>
      <w:r>
        <w:rPr>
          <w:rFonts w:hint="eastAsia"/>
        </w:rPr>
        <w:t>产品</w:t>
      </w:r>
      <w:r>
        <w:t>应该储存在干燥、通风和干净的环境中。</w:t>
      </w:r>
      <w:r>
        <w:rPr>
          <w:rFonts w:hint="eastAsia"/>
        </w:rPr>
        <w:t>如电动机贮存时间较长，应在使用前检查绕组的绝缘电阻，其值应不低于5</w:t>
      </w:r>
      <w:r>
        <w:t xml:space="preserve"> M</w:t>
      </w:r>
      <w:r>
        <w:rPr>
          <w:rFonts w:hint="eastAsia"/>
        </w:rPr>
        <w:t>Ω，否则应干燥电动机。</w:t>
      </w:r>
    </w:p>
    <w:p>
      <w:pPr>
        <w:pStyle w:val="105"/>
        <w:spacing w:before="240" w:after="240"/>
      </w:pPr>
      <w:r>
        <w:rPr>
          <w:rFonts w:hint="eastAsia"/>
        </w:rPr>
        <w:t>质量承诺</w:t>
      </w:r>
    </w:p>
    <w:p>
      <w:pPr>
        <w:pStyle w:val="57"/>
        <w:ind w:firstLine="420"/>
        <w:rPr>
          <w:b/>
          <w:bCs/>
        </w:rPr>
      </w:pPr>
      <w:r>
        <w:rPr>
          <w:rFonts w:hint="eastAsia"/>
        </w:rPr>
        <w:t>在用户按照使用维护说明书的规定，正确安装、使用、存放电动机的情况下，自制造厂起运的日期或用户购买日期2年之内应保证产品正常运行，出现质量问题包退或包修。</w:t>
      </w:r>
    </w:p>
    <w:bookmarkEnd w:id="31"/>
    <w:bookmarkEnd w:id="82"/>
    <w:bookmarkEnd w:id="83"/>
    <w:bookmarkEnd w:id="84"/>
    <w:bookmarkEnd w:id="85"/>
    <w:bookmarkEnd w:id="86"/>
    <w:bookmarkEnd w:id="87"/>
    <w:bookmarkEnd w:id="88"/>
    <w:p>
      <w:pPr>
        <w:pStyle w:val="163"/>
        <w:numPr>
          <w:ilvl w:val="0"/>
          <w:numId w:val="0"/>
        </w:numPr>
        <w:jc w:val="center"/>
      </w:pPr>
      <w:bookmarkStart w:id="182" w:name="BookMark8"/>
      <w:r>
        <w:drawing>
          <wp:inline distT="0" distB="0" distL="0" distR="0">
            <wp:extent cx="1485900" cy="317500"/>
            <wp:effectExtent l="19050" t="0" r="0" b="0"/>
            <wp:docPr id="1" name="图片 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17" cstate="print"/>
                    <a:stretch>
                      <a:fillRect/>
                    </a:stretch>
                  </pic:blipFill>
                  <pic:spPr>
                    <a:xfrm>
                      <a:off x="0" y="0"/>
                      <a:ext cx="1485900" cy="317500"/>
                    </a:xfrm>
                    <a:prstGeom prst="rect">
                      <a:avLst/>
                    </a:prstGeom>
                  </pic:spPr>
                </pic:pic>
              </a:graphicData>
            </a:graphic>
          </wp:inline>
        </w:drawing>
      </w:r>
      <w:bookmarkEnd w:id="182"/>
    </w:p>
    <w:sectPr>
      <w:headerReference r:id="rId12" w:type="default"/>
      <w:footerReference r:id="rId14" w:type="default"/>
      <w:headerReference r:id="rId13" w:type="even"/>
      <w:footerReference r:id="rId15" w:type="even"/>
      <w:pgSz w:w="11906" w:h="16838"/>
      <w:pgMar w:top="567" w:right="1134" w:bottom="1134" w:left="1134" w:header="1418" w:footer="1134" w:gutter="284"/>
      <w:pgNumType w:start="1"/>
      <w:cols w:space="425" w:num="1"/>
      <w:formProt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fldChar w:fldCharType="begin"/>
    </w:r>
    <w:r>
      <w:instrText xml:space="preserve">PAGE   \* MERGEFORMAT</w:instrText>
    </w:r>
    <w:r>
      <w:fldChar w:fldCharType="separate"/>
    </w:r>
    <w:r>
      <w:rPr>
        <w:lang w:val="zh-CN"/>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right="720"/>
      <w:jc w:val="both"/>
      <w:rPr>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3"/>
    </w:pPr>
    <w:r>
      <w:fldChar w:fldCharType="begin"/>
    </w:r>
    <w:r>
      <w:instrText xml:space="preserve">PAGE   \* MERGEFORMAT</w:instrText>
    </w:r>
    <w:r>
      <w:fldChar w:fldCharType="separate"/>
    </w:r>
    <w:r>
      <w:rPr>
        <w:lang w:val="zh-CN"/>
      </w:rPr>
      <w:t>II</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3"/>
    </w:pPr>
    <w:r>
      <w:fldChar w:fldCharType="begin"/>
    </w:r>
    <w:r>
      <w:instrText xml:space="preserve">PAGE   \* MERGEFORMAT</w:instrText>
    </w:r>
    <w:r>
      <w:fldChar w:fldCharType="separate"/>
    </w:r>
    <w:r>
      <w:rPr>
        <w:lang w:val="zh-CN"/>
      </w:rPr>
      <w:t>5</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fldChar w:fldCharType="begin"/>
    </w:r>
    <w:r>
      <w:instrText xml:space="preserve">PAGE   \* MERGEFORMAT</w:instrText>
    </w:r>
    <w:r>
      <w:fldChar w:fldCharType="separate"/>
    </w:r>
    <w:r>
      <w:rPr>
        <w:lang w:val="zh-CN"/>
      </w:rPr>
      <w:t>4</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both"/>
      <w:rPr>
        <w:sz w:val="2"/>
        <w:szCs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T/ZFA XXXX—XXXX</w:t>
    </w:r>
    <w:r>
      <w:fldChar w:fldCharType="end"/>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right"/>
    </w:pPr>
    <w:r>
      <w:fldChar w:fldCharType="begin"/>
    </w:r>
    <w:r>
      <w:instrText xml:space="preserve"> STYLEREF  标准文件_文件编号  \* MERGEFORMAT </w:instrText>
    </w:r>
    <w:r>
      <w:fldChar w:fldCharType="separate"/>
    </w:r>
    <w:r>
      <w:t>T/ZFA 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2"/>
    </w:pPr>
    <w:r>
      <w:fldChar w:fldCharType="begin"/>
    </w:r>
    <w:r>
      <w:instrText xml:space="preserve"> STYLEREF  标准文件_文件编号  \* MERGEFORMAT </w:instrText>
    </w:r>
    <w:r>
      <w:fldChar w:fldCharType="separate"/>
    </w:r>
    <w:r>
      <w:t>T/ZFA XXXX—XXXX</w:t>
    </w:r>
    <w: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right"/>
    </w:pPr>
    <w:r>
      <w:fldChar w:fldCharType="begin"/>
    </w:r>
    <w:r>
      <w:instrText xml:space="preserve"> STYLEREF  标准文件_文件编号  \* MERGEFORMAT </w:instrText>
    </w:r>
    <w:r>
      <w:fldChar w:fldCharType="separate"/>
    </w:r>
    <w:r>
      <w:t>T/ZFA 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5"/>
      <w:lvlText w:val="[%1]"/>
      <w:lvlJc w:val="left"/>
      <w:pPr>
        <w:tabs>
          <w:tab w:val="left" w:pos="2807"/>
        </w:tabs>
        <w:ind w:left="2807" w:hanging="648"/>
      </w:pPr>
    </w:lvl>
    <w:lvl w:ilvl="1" w:tentative="0">
      <w:start w:val="1"/>
      <w:numFmt w:val="lowerLetter"/>
      <w:lvlText w:val="%2)"/>
      <w:lvlJc w:val="left"/>
      <w:pPr>
        <w:tabs>
          <w:tab w:val="left" w:pos="2999"/>
        </w:tabs>
        <w:ind w:left="2999" w:hanging="420"/>
      </w:pPr>
    </w:lvl>
    <w:lvl w:ilvl="2" w:tentative="0">
      <w:start w:val="1"/>
      <w:numFmt w:val="lowerRoman"/>
      <w:lvlText w:val="%3."/>
      <w:lvlJc w:val="right"/>
      <w:pPr>
        <w:tabs>
          <w:tab w:val="left" w:pos="3419"/>
        </w:tabs>
        <w:ind w:left="3419" w:hanging="420"/>
      </w:pPr>
    </w:lvl>
    <w:lvl w:ilvl="3" w:tentative="0">
      <w:start w:val="1"/>
      <w:numFmt w:val="decimal"/>
      <w:lvlText w:val="%4."/>
      <w:lvlJc w:val="left"/>
      <w:pPr>
        <w:tabs>
          <w:tab w:val="left" w:pos="3839"/>
        </w:tabs>
        <w:ind w:left="3839" w:hanging="420"/>
      </w:pPr>
    </w:lvl>
    <w:lvl w:ilvl="4" w:tentative="0">
      <w:start w:val="1"/>
      <w:numFmt w:val="lowerLetter"/>
      <w:lvlText w:val="%5)"/>
      <w:lvlJc w:val="left"/>
      <w:pPr>
        <w:tabs>
          <w:tab w:val="left" w:pos="4259"/>
        </w:tabs>
        <w:ind w:left="4259" w:hanging="420"/>
      </w:pPr>
    </w:lvl>
    <w:lvl w:ilvl="5" w:tentative="0">
      <w:start w:val="1"/>
      <w:numFmt w:val="lowerRoman"/>
      <w:lvlText w:val="%6."/>
      <w:lvlJc w:val="right"/>
      <w:pPr>
        <w:tabs>
          <w:tab w:val="left" w:pos="4679"/>
        </w:tabs>
        <w:ind w:left="4679" w:hanging="420"/>
      </w:pPr>
    </w:lvl>
    <w:lvl w:ilvl="6" w:tentative="0">
      <w:start w:val="1"/>
      <w:numFmt w:val="decimal"/>
      <w:lvlText w:val="%7."/>
      <w:lvlJc w:val="left"/>
      <w:pPr>
        <w:tabs>
          <w:tab w:val="left" w:pos="5099"/>
        </w:tabs>
        <w:ind w:left="5099" w:hanging="420"/>
      </w:pPr>
    </w:lvl>
    <w:lvl w:ilvl="7" w:tentative="0">
      <w:start w:val="1"/>
      <w:numFmt w:val="lowerLetter"/>
      <w:lvlText w:val="%8)"/>
      <w:lvlJc w:val="left"/>
      <w:pPr>
        <w:tabs>
          <w:tab w:val="left" w:pos="5519"/>
        </w:tabs>
        <w:ind w:left="5519" w:hanging="420"/>
      </w:pPr>
    </w:lvl>
    <w:lvl w:ilvl="8" w:tentative="0">
      <w:start w:val="1"/>
      <w:numFmt w:val="lowerRoman"/>
      <w:lvlText w:val="%9."/>
      <w:lvlJc w:val="right"/>
      <w:pPr>
        <w:tabs>
          <w:tab w:val="left" w:pos="5939"/>
        </w:tabs>
        <w:ind w:left="5939"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60"/>
      <w:suff w:val="nothing"/>
      <w:lvlText w:val="%1%2.%3　"/>
      <w:lvlJc w:val="left"/>
      <w:pPr>
        <w:ind w:left="0" w:firstLine="0"/>
      </w:pPr>
    </w:lvl>
    <w:lvl w:ilvl="3" w:tentative="0">
      <w:start w:val="1"/>
      <w:numFmt w:val="decimal"/>
      <w:pStyle w:val="119"/>
      <w:suff w:val="nothing"/>
      <w:lvlText w:val="%1%2.%3.%4　"/>
      <w:lvlJc w:val="left"/>
      <w:pPr>
        <w:ind w:left="0" w:firstLine="0"/>
      </w:pPr>
    </w:lvl>
    <w:lvl w:ilvl="4" w:tentative="0">
      <w:start w:val="1"/>
      <w:numFmt w:val="decimal"/>
      <w:pStyle w:val="154"/>
      <w:suff w:val="nothing"/>
      <w:lvlText w:val="%1%2.%3.%4.%5　"/>
      <w:lvlJc w:val="left"/>
      <w:pPr>
        <w:ind w:left="0" w:firstLine="0"/>
      </w:pPr>
    </w:lvl>
    <w:lvl w:ilvl="5" w:tentative="0">
      <w:start w:val="1"/>
      <w:numFmt w:val="decimal"/>
      <w:pStyle w:val="156"/>
      <w:suff w:val="nothing"/>
      <w:lvlText w:val="%1%2.%3.%4.%5.%6　"/>
      <w:lvlJc w:val="left"/>
      <w:pPr>
        <w:ind w:left="0" w:firstLine="0"/>
      </w:pPr>
    </w:lvl>
    <w:lvl w:ilvl="6" w:tentative="0">
      <w:start w:val="1"/>
      <w:numFmt w:val="decimal"/>
      <w:pStyle w:val="159"/>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1"/>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90"/>
      <w:lvlText w:val="%1"/>
      <w:lvlJc w:val="left"/>
      <w:pPr>
        <w:ind w:left="425" w:hanging="425"/>
      </w:pPr>
      <w:rPr>
        <w:rFonts w:hint="eastAsia"/>
      </w:rPr>
    </w:lvl>
    <w:lvl w:ilvl="1" w:tentative="0">
      <w:start w:val="1"/>
      <w:numFmt w:val="decimal"/>
      <w:pStyle w:val="201"/>
      <w:suff w:val="nothing"/>
      <w:lvlText w:val="%10.%2 "/>
      <w:lvlJc w:val="left"/>
      <w:pPr>
        <w:ind w:left="0" w:firstLine="0"/>
      </w:pPr>
      <w:rPr>
        <w:rFonts w:hint="eastAsia" w:ascii="黑体" w:eastAsia="黑体" w:hAnsiTheme="minorHAnsi"/>
        <w:b w:val="0"/>
        <w:i w:val="0"/>
        <w:sz w:val="21"/>
      </w:rPr>
    </w:lvl>
    <w:lvl w:ilvl="2" w:tentative="0">
      <w:start w:val="1"/>
      <w:numFmt w:val="decimal"/>
      <w:pStyle w:val="202"/>
      <w:suff w:val="nothing"/>
      <w:lvlText w:val="%10.%2.%3 "/>
      <w:lvlJc w:val="left"/>
      <w:pPr>
        <w:ind w:left="0" w:firstLine="0"/>
      </w:pPr>
      <w:rPr>
        <w:rFonts w:hint="eastAsia" w:ascii="黑体" w:eastAsia="黑体" w:hAnsiTheme="minorHAnsi"/>
        <w:b w:val="0"/>
        <w:i w:val="0"/>
        <w:sz w:val="21"/>
      </w:rPr>
    </w:lvl>
    <w:lvl w:ilvl="3" w:tentative="0">
      <w:start w:val="1"/>
      <w:numFmt w:val="decimal"/>
      <w:pStyle w:val="203"/>
      <w:suff w:val="nothing"/>
      <w:lvlText w:val="%10.%2.%3.%4 "/>
      <w:lvlJc w:val="left"/>
      <w:pPr>
        <w:ind w:left="0" w:firstLine="0"/>
      </w:pPr>
      <w:rPr>
        <w:rFonts w:hint="eastAsia" w:ascii="黑体" w:eastAsia="黑体" w:hAnsiTheme="minorHAnsi"/>
        <w:b w:val="0"/>
        <w:i w:val="0"/>
        <w:sz w:val="21"/>
      </w:rPr>
    </w:lvl>
    <w:lvl w:ilvl="4" w:tentative="0">
      <w:start w:val="1"/>
      <w:numFmt w:val="decimal"/>
      <w:pStyle w:val="204"/>
      <w:suff w:val="nothing"/>
      <w:lvlText w:val="%10.%2.%3.%4.%5 "/>
      <w:lvlJc w:val="left"/>
      <w:pPr>
        <w:ind w:left="0" w:firstLine="0"/>
      </w:pPr>
      <w:rPr>
        <w:rFonts w:hint="eastAsia" w:ascii="黑体" w:eastAsia="黑体" w:hAnsiTheme="minorHAnsi"/>
        <w:b w:val="0"/>
        <w:i w:val="0"/>
        <w:sz w:val="21"/>
      </w:rPr>
    </w:lvl>
    <w:lvl w:ilvl="5" w:tentative="0">
      <w:start w:val="1"/>
      <w:numFmt w:val="decimal"/>
      <w:pStyle w:val="205"/>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2"/>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8"/>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70"/>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1"/>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6"/>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3"/>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3"/>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8"/>
      <w:lvlText w:val=""/>
      <w:lvlJc w:val="left"/>
      <w:pPr>
        <w:ind w:left="851" w:hanging="431"/>
      </w:pPr>
      <w:rPr>
        <w:rFonts w:hint="default" w:ascii="Symbol" w:hAnsi="Symbol"/>
        <w:sz w:val="21"/>
      </w:rPr>
    </w:lvl>
    <w:lvl w:ilvl="2" w:tentative="0">
      <w:start w:val="1"/>
      <w:numFmt w:val="bullet"/>
      <w:pStyle w:val="173"/>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2"/>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5"/>
      <w:lvlText w:val="%1)"/>
      <w:lvlJc w:val="left"/>
      <w:pPr>
        <w:tabs>
          <w:tab w:val="left" w:pos="851"/>
        </w:tabs>
        <w:ind w:left="851" w:hanging="426"/>
      </w:pPr>
      <w:rPr>
        <w:rFonts w:hint="eastAsia" w:ascii="宋体" w:hAnsi="Times New Roman" w:eastAsia="宋体"/>
        <w:sz w:val="21"/>
      </w:rPr>
    </w:lvl>
    <w:lvl w:ilvl="1" w:tentative="0">
      <w:start w:val="1"/>
      <w:numFmt w:val="decimal"/>
      <w:pStyle w:val="110"/>
      <w:lvlText w:val="%2)"/>
      <w:lvlJc w:val="left"/>
      <w:pPr>
        <w:tabs>
          <w:tab w:val="left" w:pos="1276"/>
        </w:tabs>
        <w:ind w:left="1276" w:hanging="425"/>
      </w:pPr>
      <w:rPr>
        <w:rFonts w:hint="eastAsia" w:ascii="宋体" w:hAnsi="Times New Roman" w:eastAsia="宋体"/>
        <w:sz w:val="21"/>
      </w:rPr>
    </w:lvl>
    <w:lvl w:ilvl="2" w:tentative="0">
      <w:start w:val="1"/>
      <w:numFmt w:val="decimal"/>
      <w:pStyle w:val="118"/>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199"/>
      <w:lvlText w:val="%1"/>
      <w:lvlJc w:val="left"/>
      <w:pPr>
        <w:ind w:left="420" w:hanging="420"/>
      </w:pPr>
      <w:rPr>
        <w:rFonts w:hint="eastAsia"/>
      </w:rPr>
    </w:lvl>
    <w:lvl w:ilvl="1" w:tentative="0">
      <w:start w:val="1"/>
      <w:numFmt w:val="decimal"/>
      <w:pStyle w:val="84"/>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4"/>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7"/>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4"/>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5"/>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200"/>
      <w:suff w:val="space"/>
      <w:lvlText w:val="%1"/>
      <w:lvlJc w:val="left"/>
      <w:pPr>
        <w:ind w:left="425" w:hanging="425"/>
      </w:pPr>
      <w:rPr>
        <w:rFonts w:hint="eastAsia"/>
      </w:rPr>
    </w:lvl>
    <w:lvl w:ilvl="1" w:tentative="0">
      <w:start w:val="1"/>
      <w:numFmt w:val="decimal"/>
      <w:pStyle w:val="78"/>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2"/>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3"/>
      <w:suff w:val="nothing"/>
      <w:lvlText w:val="表%1　"/>
      <w:lvlJc w:val="left"/>
      <w:pPr>
        <w:ind w:left="3969"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90"/>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7"/>
      <w:suff w:val="nothing"/>
      <w:lvlText w:val="附录%1"/>
      <w:lvlJc w:val="left"/>
      <w:pPr>
        <w:ind w:left="0" w:firstLine="0"/>
      </w:pPr>
      <w:rPr>
        <w:rFonts w:hint="eastAsia"/>
        <w:spacing w:val="100"/>
      </w:rPr>
    </w:lvl>
    <w:lvl w:ilvl="1" w:tentative="0">
      <w:start w:val="1"/>
      <w:numFmt w:val="decimal"/>
      <w:pStyle w:val="79"/>
      <w:suff w:val="nothing"/>
      <w:lvlText w:val="%1.%2　"/>
      <w:lvlJc w:val="left"/>
      <w:pPr>
        <w:ind w:left="0" w:firstLine="0"/>
      </w:pPr>
      <w:rPr>
        <w:rFonts w:hint="eastAsia" w:ascii="黑体" w:eastAsia="黑体"/>
        <w:b w:val="0"/>
        <w:i w:val="0"/>
        <w:sz w:val="21"/>
      </w:rPr>
    </w:lvl>
    <w:lvl w:ilvl="2" w:tentative="0">
      <w:start w:val="1"/>
      <w:numFmt w:val="decimal"/>
      <w:pStyle w:val="80"/>
      <w:suff w:val="nothing"/>
      <w:lvlText w:val="%1.%2.%3　"/>
      <w:lvlJc w:val="left"/>
      <w:pPr>
        <w:ind w:left="0" w:firstLine="0"/>
      </w:pPr>
      <w:rPr>
        <w:rFonts w:hint="eastAsia" w:ascii="黑体" w:eastAsia="黑体"/>
        <w:b w:val="0"/>
        <w:i w:val="0"/>
        <w:sz w:val="21"/>
      </w:rPr>
    </w:lvl>
    <w:lvl w:ilvl="3" w:tentative="0">
      <w:start w:val="1"/>
      <w:numFmt w:val="decimal"/>
      <w:pStyle w:val="82"/>
      <w:suff w:val="nothing"/>
      <w:lvlText w:val="%1.%2.%3.%4　"/>
      <w:lvlJc w:val="left"/>
      <w:pPr>
        <w:ind w:left="0" w:firstLine="0"/>
      </w:pPr>
      <w:rPr>
        <w:rFonts w:hint="eastAsia" w:ascii="黑体" w:eastAsia="黑体"/>
        <w:b w:val="0"/>
        <w:i w:val="0"/>
        <w:sz w:val="21"/>
      </w:rPr>
    </w:lvl>
    <w:lvl w:ilvl="4" w:tentative="0">
      <w:start w:val="1"/>
      <w:numFmt w:val="decimal"/>
      <w:pStyle w:val="83"/>
      <w:suff w:val="nothing"/>
      <w:lvlText w:val="%1.%2.%3.%4.%5　"/>
      <w:lvlJc w:val="left"/>
      <w:pPr>
        <w:ind w:left="0" w:firstLine="0"/>
      </w:pPr>
      <w:rPr>
        <w:rFonts w:hint="eastAsia" w:ascii="黑体" w:eastAsia="黑体"/>
        <w:b w:val="0"/>
        <w:i w:val="0"/>
        <w:sz w:val="21"/>
      </w:rPr>
    </w:lvl>
    <w:lvl w:ilvl="5" w:tentative="0">
      <w:start w:val="1"/>
      <w:numFmt w:val="decimal"/>
      <w:pStyle w:val="85"/>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89"/>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8"/>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4"/>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3"/>
      <w:suff w:val="nothing"/>
      <w:lvlText w:val="%1"/>
      <w:lvlJc w:val="left"/>
      <w:pPr>
        <w:ind w:left="0" w:firstLine="0"/>
      </w:pPr>
      <w:rPr>
        <w:rFonts w:hint="eastAsia"/>
      </w:rPr>
    </w:lvl>
    <w:lvl w:ilvl="1" w:tentative="0">
      <w:start w:val="1"/>
      <w:numFmt w:val="decimal"/>
      <w:pStyle w:val="105"/>
      <w:suff w:val="nothing"/>
      <w:lvlText w:val="%1%2　"/>
      <w:lvlJc w:val="left"/>
      <w:pPr>
        <w:ind w:left="0" w:firstLine="0"/>
      </w:pPr>
      <w:rPr>
        <w:rFonts w:hint="eastAsia" w:ascii="黑体" w:eastAsia="黑体"/>
        <w:b w:val="0"/>
        <w:i w:val="0"/>
        <w:sz w:val="21"/>
      </w:rPr>
    </w:lvl>
    <w:lvl w:ilvl="2" w:tentative="0">
      <w:start w:val="1"/>
      <w:numFmt w:val="decimal"/>
      <w:pStyle w:val="106"/>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rPr>
    </w:lvl>
    <w:lvl w:ilvl="3" w:tentative="0">
      <w:start w:val="1"/>
      <w:numFmt w:val="decimal"/>
      <w:pStyle w:val="66"/>
      <w:suff w:val="nothing"/>
      <w:lvlText w:val="%1%2.%3.%4　"/>
      <w:lvlJc w:val="left"/>
      <w:pPr>
        <w:ind w:left="0" w:firstLine="0"/>
      </w:pPr>
      <w:rPr>
        <w:rFonts w:hint="eastAsia" w:ascii="黑体" w:eastAsia="黑体"/>
        <w:b w:val="0"/>
        <w:i w:val="0"/>
        <w:sz w:val="21"/>
      </w:rPr>
    </w:lvl>
    <w:lvl w:ilvl="4" w:tentative="0">
      <w:start w:val="1"/>
      <w:numFmt w:val="decimal"/>
      <w:pStyle w:val="95"/>
      <w:suff w:val="nothing"/>
      <w:lvlText w:val="%1%2.%3.%4.%5　"/>
      <w:lvlJc w:val="left"/>
      <w:pPr>
        <w:ind w:left="0" w:firstLine="0"/>
      </w:pPr>
      <w:rPr>
        <w:rFonts w:hint="eastAsia" w:ascii="黑体" w:eastAsia="黑体"/>
        <w:b w:val="0"/>
        <w:i w:val="0"/>
        <w:sz w:val="21"/>
      </w:rPr>
    </w:lvl>
    <w:lvl w:ilvl="5" w:tentative="0">
      <w:start w:val="1"/>
      <w:numFmt w:val="decimal"/>
      <w:pStyle w:val="99"/>
      <w:suff w:val="nothing"/>
      <w:lvlText w:val="%1%2.%3.%4.%5.%6　"/>
      <w:lvlJc w:val="left"/>
      <w:pPr>
        <w:ind w:left="0" w:firstLine="0"/>
      </w:pPr>
      <w:rPr>
        <w:rFonts w:hint="eastAsia" w:ascii="黑体" w:eastAsia="黑体"/>
        <w:b w:val="0"/>
        <w:i w:val="0"/>
        <w:sz w:val="21"/>
      </w:rPr>
    </w:lvl>
    <w:lvl w:ilvl="6" w:tentative="0">
      <w:start w:val="1"/>
      <w:numFmt w:val="decimal"/>
      <w:pStyle w:val="104"/>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80"/>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6"/>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40"/>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 w:numId="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dit="forms" w:enforcement="1" w:cryptProviderType="rsaAES" w:cryptAlgorithmClass="hash" w:cryptAlgorithmType="typeAny" w:cryptAlgorithmSid="14" w:cryptSpinCount="100000" w:hash="hpEaTFnWV4UJAp0aj7GGp35+hOknKUBpfojolSAtrZuA6ghRwCWurIA1cbjSc899BwCtoyJRnji4vxB0YBQ/qQ==" w:salt="HuWX4LLu9bRqT7g5ssU31g=="/>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TM5NTkyZDhjNDI4MjIzYjI4MTNiOTg4NGYyMGFmOWEifQ=="/>
  </w:docVars>
  <w:rsids>
    <w:rsidRoot w:val="005D4297"/>
    <w:rsid w:val="0000040A"/>
    <w:rsid w:val="00000A94"/>
    <w:rsid w:val="00000C94"/>
    <w:rsid w:val="00001972"/>
    <w:rsid w:val="00001A32"/>
    <w:rsid w:val="00001D9A"/>
    <w:rsid w:val="0000287B"/>
    <w:rsid w:val="0000450D"/>
    <w:rsid w:val="00007B3A"/>
    <w:rsid w:val="000107E0"/>
    <w:rsid w:val="00011FDE"/>
    <w:rsid w:val="00012FFD"/>
    <w:rsid w:val="00014162"/>
    <w:rsid w:val="00014340"/>
    <w:rsid w:val="00016175"/>
    <w:rsid w:val="00016A9C"/>
    <w:rsid w:val="00021382"/>
    <w:rsid w:val="00022184"/>
    <w:rsid w:val="00022762"/>
    <w:rsid w:val="000238E0"/>
    <w:rsid w:val="00023B53"/>
    <w:rsid w:val="000249DB"/>
    <w:rsid w:val="0002595E"/>
    <w:rsid w:val="000303C3"/>
    <w:rsid w:val="000331D3"/>
    <w:rsid w:val="00033FE3"/>
    <w:rsid w:val="000346A5"/>
    <w:rsid w:val="000359C3"/>
    <w:rsid w:val="00035A7D"/>
    <w:rsid w:val="000365ED"/>
    <w:rsid w:val="000401C9"/>
    <w:rsid w:val="00040A7F"/>
    <w:rsid w:val="0004249A"/>
    <w:rsid w:val="00043282"/>
    <w:rsid w:val="00043CDB"/>
    <w:rsid w:val="00044286"/>
    <w:rsid w:val="00044A14"/>
    <w:rsid w:val="00047687"/>
    <w:rsid w:val="0004796B"/>
    <w:rsid w:val="00047F28"/>
    <w:rsid w:val="000503AA"/>
    <w:rsid w:val="000506A1"/>
    <w:rsid w:val="000515DD"/>
    <w:rsid w:val="0005265A"/>
    <w:rsid w:val="000539DD"/>
    <w:rsid w:val="00053BD3"/>
    <w:rsid w:val="000556ED"/>
    <w:rsid w:val="00055FE2"/>
    <w:rsid w:val="0005616F"/>
    <w:rsid w:val="00060C2E"/>
    <w:rsid w:val="00061033"/>
    <w:rsid w:val="0006108C"/>
    <w:rsid w:val="000619E9"/>
    <w:rsid w:val="000622D4"/>
    <w:rsid w:val="0006357D"/>
    <w:rsid w:val="00067D37"/>
    <w:rsid w:val="00067F1E"/>
    <w:rsid w:val="00071C9A"/>
    <w:rsid w:val="00071CC0"/>
    <w:rsid w:val="00071CFC"/>
    <w:rsid w:val="00073C8C"/>
    <w:rsid w:val="00073D03"/>
    <w:rsid w:val="00077B64"/>
    <w:rsid w:val="00080A1C"/>
    <w:rsid w:val="0008134D"/>
    <w:rsid w:val="00082317"/>
    <w:rsid w:val="00083D2C"/>
    <w:rsid w:val="00086AA1"/>
    <w:rsid w:val="00087A77"/>
    <w:rsid w:val="00090CA6"/>
    <w:rsid w:val="00092B8A"/>
    <w:rsid w:val="00092FB0"/>
    <w:rsid w:val="000934C5"/>
    <w:rsid w:val="00093D25"/>
    <w:rsid w:val="00093DAB"/>
    <w:rsid w:val="0009444A"/>
    <w:rsid w:val="00094D73"/>
    <w:rsid w:val="00095BD5"/>
    <w:rsid w:val="00095FDB"/>
    <w:rsid w:val="00096D63"/>
    <w:rsid w:val="000A0B60"/>
    <w:rsid w:val="000A0EB8"/>
    <w:rsid w:val="000A12C2"/>
    <w:rsid w:val="000A19FC"/>
    <w:rsid w:val="000A296B"/>
    <w:rsid w:val="000A7311"/>
    <w:rsid w:val="000B060F"/>
    <w:rsid w:val="000B098C"/>
    <w:rsid w:val="000B1592"/>
    <w:rsid w:val="000B1BE2"/>
    <w:rsid w:val="000B1FF2"/>
    <w:rsid w:val="000B3CDA"/>
    <w:rsid w:val="000B3F0A"/>
    <w:rsid w:val="000B45D5"/>
    <w:rsid w:val="000B6A0B"/>
    <w:rsid w:val="000B7356"/>
    <w:rsid w:val="000C02BF"/>
    <w:rsid w:val="000C0F6C"/>
    <w:rsid w:val="000C11DB"/>
    <w:rsid w:val="000C1492"/>
    <w:rsid w:val="000C2FBD"/>
    <w:rsid w:val="000C4B41"/>
    <w:rsid w:val="000C57D6"/>
    <w:rsid w:val="000C5FDE"/>
    <w:rsid w:val="000C6302"/>
    <w:rsid w:val="000C6362"/>
    <w:rsid w:val="000C7666"/>
    <w:rsid w:val="000D0A9C"/>
    <w:rsid w:val="000D1795"/>
    <w:rsid w:val="000D329A"/>
    <w:rsid w:val="000D3313"/>
    <w:rsid w:val="000D349C"/>
    <w:rsid w:val="000D49B5"/>
    <w:rsid w:val="000D4B9C"/>
    <w:rsid w:val="000D4EB6"/>
    <w:rsid w:val="000D50E9"/>
    <w:rsid w:val="000D7093"/>
    <w:rsid w:val="000D753B"/>
    <w:rsid w:val="000E4C9E"/>
    <w:rsid w:val="000E4D2C"/>
    <w:rsid w:val="000E6FD7"/>
    <w:rsid w:val="000F06E1"/>
    <w:rsid w:val="000F0E3C"/>
    <w:rsid w:val="000F19D5"/>
    <w:rsid w:val="000F1B90"/>
    <w:rsid w:val="000F2224"/>
    <w:rsid w:val="000F2E0C"/>
    <w:rsid w:val="000F3D94"/>
    <w:rsid w:val="000F4050"/>
    <w:rsid w:val="000F4AEA"/>
    <w:rsid w:val="000F5786"/>
    <w:rsid w:val="000F67E9"/>
    <w:rsid w:val="000F6F09"/>
    <w:rsid w:val="00100062"/>
    <w:rsid w:val="001042A2"/>
    <w:rsid w:val="00104926"/>
    <w:rsid w:val="0011321B"/>
    <w:rsid w:val="00113B1E"/>
    <w:rsid w:val="00113E1F"/>
    <w:rsid w:val="00114998"/>
    <w:rsid w:val="001168A2"/>
    <w:rsid w:val="0011711C"/>
    <w:rsid w:val="00123B68"/>
    <w:rsid w:val="00124E4F"/>
    <w:rsid w:val="001260B7"/>
    <w:rsid w:val="001265CB"/>
    <w:rsid w:val="00127AB6"/>
    <w:rsid w:val="00127EF1"/>
    <w:rsid w:val="0013038B"/>
    <w:rsid w:val="00131DD1"/>
    <w:rsid w:val="001321C6"/>
    <w:rsid w:val="001325C4"/>
    <w:rsid w:val="00133010"/>
    <w:rsid w:val="001338EE"/>
    <w:rsid w:val="00133AAE"/>
    <w:rsid w:val="00135323"/>
    <w:rsid w:val="001356C4"/>
    <w:rsid w:val="00135E41"/>
    <w:rsid w:val="00137565"/>
    <w:rsid w:val="00141114"/>
    <w:rsid w:val="00142969"/>
    <w:rsid w:val="001446C2"/>
    <w:rsid w:val="001457E7"/>
    <w:rsid w:val="00145D9D"/>
    <w:rsid w:val="00146388"/>
    <w:rsid w:val="00146C44"/>
    <w:rsid w:val="001529E5"/>
    <w:rsid w:val="00152FB3"/>
    <w:rsid w:val="00153C7E"/>
    <w:rsid w:val="00156B25"/>
    <w:rsid w:val="00156E1A"/>
    <w:rsid w:val="00157894"/>
    <w:rsid w:val="00157B55"/>
    <w:rsid w:val="0016026B"/>
    <w:rsid w:val="00160582"/>
    <w:rsid w:val="001639EE"/>
    <w:rsid w:val="001642FA"/>
    <w:rsid w:val="001649EB"/>
    <w:rsid w:val="00164BAF"/>
    <w:rsid w:val="00164FA8"/>
    <w:rsid w:val="00165065"/>
    <w:rsid w:val="00165434"/>
    <w:rsid w:val="0016580B"/>
    <w:rsid w:val="00165F49"/>
    <w:rsid w:val="00166263"/>
    <w:rsid w:val="00166B88"/>
    <w:rsid w:val="0016770A"/>
    <w:rsid w:val="00167A62"/>
    <w:rsid w:val="00170804"/>
    <w:rsid w:val="001708E9"/>
    <w:rsid w:val="001725F5"/>
    <w:rsid w:val="0017340B"/>
    <w:rsid w:val="001735CA"/>
    <w:rsid w:val="00173EB1"/>
    <w:rsid w:val="00173FB1"/>
    <w:rsid w:val="00176DFD"/>
    <w:rsid w:val="00181925"/>
    <w:rsid w:val="00182294"/>
    <w:rsid w:val="00182312"/>
    <w:rsid w:val="00184FD4"/>
    <w:rsid w:val="001852C9"/>
    <w:rsid w:val="00187256"/>
    <w:rsid w:val="00187A0B"/>
    <w:rsid w:val="00190087"/>
    <w:rsid w:val="001913C4"/>
    <w:rsid w:val="00192E03"/>
    <w:rsid w:val="00193134"/>
    <w:rsid w:val="0019348F"/>
    <w:rsid w:val="00193A07"/>
    <w:rsid w:val="001944D0"/>
    <w:rsid w:val="00194C95"/>
    <w:rsid w:val="00195C34"/>
    <w:rsid w:val="00196EF5"/>
    <w:rsid w:val="001A1441"/>
    <w:rsid w:val="001A1A53"/>
    <w:rsid w:val="001A1F7D"/>
    <w:rsid w:val="001A234A"/>
    <w:rsid w:val="001A4356"/>
    <w:rsid w:val="001A4CF3"/>
    <w:rsid w:val="001A4D1D"/>
    <w:rsid w:val="001A52E2"/>
    <w:rsid w:val="001A6696"/>
    <w:rsid w:val="001B06E8"/>
    <w:rsid w:val="001B0EF9"/>
    <w:rsid w:val="001B5CF3"/>
    <w:rsid w:val="001B71D0"/>
    <w:rsid w:val="001B71EE"/>
    <w:rsid w:val="001C04A8"/>
    <w:rsid w:val="001C28FB"/>
    <w:rsid w:val="001C2C03"/>
    <w:rsid w:val="001C42F7"/>
    <w:rsid w:val="001C49E5"/>
    <w:rsid w:val="001C5FCD"/>
    <w:rsid w:val="001C680C"/>
    <w:rsid w:val="001C7FEA"/>
    <w:rsid w:val="001D0499"/>
    <w:rsid w:val="001D0BBE"/>
    <w:rsid w:val="001D0ED4"/>
    <w:rsid w:val="001D212F"/>
    <w:rsid w:val="001D29D7"/>
    <w:rsid w:val="001D2DE7"/>
    <w:rsid w:val="001D411C"/>
    <w:rsid w:val="001E0337"/>
    <w:rsid w:val="001E1B6A"/>
    <w:rsid w:val="001E2484"/>
    <w:rsid w:val="001E3CC4"/>
    <w:rsid w:val="001E4882"/>
    <w:rsid w:val="001E73AB"/>
    <w:rsid w:val="001F092D"/>
    <w:rsid w:val="001F1218"/>
    <w:rsid w:val="001F143A"/>
    <w:rsid w:val="001F1605"/>
    <w:rsid w:val="001F2508"/>
    <w:rsid w:val="001F4816"/>
    <w:rsid w:val="001F69B4"/>
    <w:rsid w:val="001F77C7"/>
    <w:rsid w:val="00200183"/>
    <w:rsid w:val="00200333"/>
    <w:rsid w:val="0020107D"/>
    <w:rsid w:val="00201934"/>
    <w:rsid w:val="00202AA4"/>
    <w:rsid w:val="002031F7"/>
    <w:rsid w:val="002040E6"/>
    <w:rsid w:val="0020527B"/>
    <w:rsid w:val="00205F2C"/>
    <w:rsid w:val="00210B15"/>
    <w:rsid w:val="00213393"/>
    <w:rsid w:val="002142EA"/>
    <w:rsid w:val="00214589"/>
    <w:rsid w:val="00214A1D"/>
    <w:rsid w:val="0021548C"/>
    <w:rsid w:val="00215ADD"/>
    <w:rsid w:val="002167F3"/>
    <w:rsid w:val="002204BB"/>
    <w:rsid w:val="00221210"/>
    <w:rsid w:val="002214FE"/>
    <w:rsid w:val="00221B79"/>
    <w:rsid w:val="00221C6B"/>
    <w:rsid w:val="002240C8"/>
    <w:rsid w:val="002253A1"/>
    <w:rsid w:val="00225CF8"/>
    <w:rsid w:val="0022794E"/>
    <w:rsid w:val="00232DC3"/>
    <w:rsid w:val="00233D64"/>
    <w:rsid w:val="0023482A"/>
    <w:rsid w:val="00235306"/>
    <w:rsid w:val="002359CB"/>
    <w:rsid w:val="002359D6"/>
    <w:rsid w:val="00236619"/>
    <w:rsid w:val="00240C49"/>
    <w:rsid w:val="00243540"/>
    <w:rsid w:val="0024497B"/>
    <w:rsid w:val="0024515B"/>
    <w:rsid w:val="00246021"/>
    <w:rsid w:val="0024666E"/>
    <w:rsid w:val="002473E7"/>
    <w:rsid w:val="00247F52"/>
    <w:rsid w:val="00250B25"/>
    <w:rsid w:val="00250BBE"/>
    <w:rsid w:val="002515C2"/>
    <w:rsid w:val="0025194F"/>
    <w:rsid w:val="00252A63"/>
    <w:rsid w:val="0025464E"/>
    <w:rsid w:val="0025716C"/>
    <w:rsid w:val="0026148A"/>
    <w:rsid w:val="00262696"/>
    <w:rsid w:val="00263D25"/>
    <w:rsid w:val="002643C3"/>
    <w:rsid w:val="00264A0C"/>
    <w:rsid w:val="00265341"/>
    <w:rsid w:val="00265EFF"/>
    <w:rsid w:val="00265FF0"/>
    <w:rsid w:val="00266EEB"/>
    <w:rsid w:val="00267EF4"/>
    <w:rsid w:val="00270CB8"/>
    <w:rsid w:val="00272B08"/>
    <w:rsid w:val="00275D07"/>
    <w:rsid w:val="00275ED3"/>
    <w:rsid w:val="00277A5B"/>
    <w:rsid w:val="00280C91"/>
    <w:rsid w:val="00281BB8"/>
    <w:rsid w:val="00281E9E"/>
    <w:rsid w:val="00282405"/>
    <w:rsid w:val="00283149"/>
    <w:rsid w:val="00284E4E"/>
    <w:rsid w:val="00285170"/>
    <w:rsid w:val="00285361"/>
    <w:rsid w:val="00286C07"/>
    <w:rsid w:val="00292D60"/>
    <w:rsid w:val="00293B30"/>
    <w:rsid w:val="00294D34"/>
    <w:rsid w:val="00294E3B"/>
    <w:rsid w:val="00296193"/>
    <w:rsid w:val="00296C66"/>
    <w:rsid w:val="00296EBE"/>
    <w:rsid w:val="002974E3"/>
    <w:rsid w:val="002A084B"/>
    <w:rsid w:val="002A0857"/>
    <w:rsid w:val="002A1260"/>
    <w:rsid w:val="002A1589"/>
    <w:rsid w:val="002A1608"/>
    <w:rsid w:val="002A25DC"/>
    <w:rsid w:val="002A3AAB"/>
    <w:rsid w:val="002A4CEA"/>
    <w:rsid w:val="002A5977"/>
    <w:rsid w:val="002A5A13"/>
    <w:rsid w:val="002A757F"/>
    <w:rsid w:val="002A7F44"/>
    <w:rsid w:val="002B0C40"/>
    <w:rsid w:val="002B1966"/>
    <w:rsid w:val="002B1EB5"/>
    <w:rsid w:val="002B4508"/>
    <w:rsid w:val="002B5779"/>
    <w:rsid w:val="002B7332"/>
    <w:rsid w:val="002B7F51"/>
    <w:rsid w:val="002C09E7"/>
    <w:rsid w:val="002C1E06"/>
    <w:rsid w:val="002C3F07"/>
    <w:rsid w:val="002C5278"/>
    <w:rsid w:val="002C7648"/>
    <w:rsid w:val="002C7EBB"/>
    <w:rsid w:val="002D06C1"/>
    <w:rsid w:val="002D42B5"/>
    <w:rsid w:val="002D49C2"/>
    <w:rsid w:val="002D4F1A"/>
    <w:rsid w:val="002D6EC6"/>
    <w:rsid w:val="002D72A1"/>
    <w:rsid w:val="002D79AC"/>
    <w:rsid w:val="002E039D"/>
    <w:rsid w:val="002E053E"/>
    <w:rsid w:val="002E4D5A"/>
    <w:rsid w:val="002E50B6"/>
    <w:rsid w:val="002E6326"/>
    <w:rsid w:val="002E799F"/>
    <w:rsid w:val="002F107E"/>
    <w:rsid w:val="002F30E0"/>
    <w:rsid w:val="002F35E4"/>
    <w:rsid w:val="002F3730"/>
    <w:rsid w:val="002F3768"/>
    <w:rsid w:val="002F38E1"/>
    <w:rsid w:val="002F7AF6"/>
    <w:rsid w:val="00300E63"/>
    <w:rsid w:val="00302F5F"/>
    <w:rsid w:val="0030441D"/>
    <w:rsid w:val="00306063"/>
    <w:rsid w:val="00310C12"/>
    <w:rsid w:val="00311F48"/>
    <w:rsid w:val="00312449"/>
    <w:rsid w:val="0031371E"/>
    <w:rsid w:val="00313B85"/>
    <w:rsid w:val="003150AE"/>
    <w:rsid w:val="00317988"/>
    <w:rsid w:val="003221B4"/>
    <w:rsid w:val="0032258D"/>
    <w:rsid w:val="003227BE"/>
    <w:rsid w:val="00322E62"/>
    <w:rsid w:val="003246AD"/>
    <w:rsid w:val="00324D13"/>
    <w:rsid w:val="00324EDD"/>
    <w:rsid w:val="003331E4"/>
    <w:rsid w:val="0033611D"/>
    <w:rsid w:val="00336C64"/>
    <w:rsid w:val="00337162"/>
    <w:rsid w:val="003373C4"/>
    <w:rsid w:val="0033792D"/>
    <w:rsid w:val="0034050B"/>
    <w:rsid w:val="00340561"/>
    <w:rsid w:val="00340F18"/>
    <w:rsid w:val="0034194F"/>
    <w:rsid w:val="00344605"/>
    <w:rsid w:val="00344E75"/>
    <w:rsid w:val="00346842"/>
    <w:rsid w:val="00346DBE"/>
    <w:rsid w:val="003474AA"/>
    <w:rsid w:val="00350D1D"/>
    <w:rsid w:val="00352C83"/>
    <w:rsid w:val="00352F1A"/>
    <w:rsid w:val="003579C0"/>
    <w:rsid w:val="0036107C"/>
    <w:rsid w:val="003615D2"/>
    <w:rsid w:val="003632A1"/>
    <w:rsid w:val="0036429C"/>
    <w:rsid w:val="0036461D"/>
    <w:rsid w:val="00364A53"/>
    <w:rsid w:val="003654CB"/>
    <w:rsid w:val="00365AA9"/>
    <w:rsid w:val="00365F86"/>
    <w:rsid w:val="00365F87"/>
    <w:rsid w:val="00366E89"/>
    <w:rsid w:val="003705F4"/>
    <w:rsid w:val="00370D58"/>
    <w:rsid w:val="00371316"/>
    <w:rsid w:val="00373AD6"/>
    <w:rsid w:val="00374C57"/>
    <w:rsid w:val="0037601B"/>
    <w:rsid w:val="00376713"/>
    <w:rsid w:val="003779BA"/>
    <w:rsid w:val="00381815"/>
    <w:rsid w:val="003819AF"/>
    <w:rsid w:val="003820E9"/>
    <w:rsid w:val="00382DE7"/>
    <w:rsid w:val="00384FFC"/>
    <w:rsid w:val="0038502D"/>
    <w:rsid w:val="003872FC"/>
    <w:rsid w:val="00387ADC"/>
    <w:rsid w:val="00390020"/>
    <w:rsid w:val="003903D6"/>
    <w:rsid w:val="00390823"/>
    <w:rsid w:val="00390EE6"/>
    <w:rsid w:val="003910C0"/>
    <w:rsid w:val="0039118F"/>
    <w:rsid w:val="00392AD7"/>
    <w:rsid w:val="003938D9"/>
    <w:rsid w:val="00394376"/>
    <w:rsid w:val="003943FF"/>
    <w:rsid w:val="003974EB"/>
    <w:rsid w:val="00397CC5"/>
    <w:rsid w:val="00397CF1"/>
    <w:rsid w:val="003A1107"/>
    <w:rsid w:val="003A1582"/>
    <w:rsid w:val="003A1C24"/>
    <w:rsid w:val="003A3D9C"/>
    <w:rsid w:val="003A3EF7"/>
    <w:rsid w:val="003A4077"/>
    <w:rsid w:val="003A4AA7"/>
    <w:rsid w:val="003A5DCF"/>
    <w:rsid w:val="003B065D"/>
    <w:rsid w:val="003B09AD"/>
    <w:rsid w:val="003B1F18"/>
    <w:rsid w:val="003B5BF0"/>
    <w:rsid w:val="003B5E2C"/>
    <w:rsid w:val="003B60BF"/>
    <w:rsid w:val="003B6BE3"/>
    <w:rsid w:val="003C010C"/>
    <w:rsid w:val="003C0A6C"/>
    <w:rsid w:val="003C14F8"/>
    <w:rsid w:val="003C24B6"/>
    <w:rsid w:val="003C4E49"/>
    <w:rsid w:val="003C5A43"/>
    <w:rsid w:val="003D0519"/>
    <w:rsid w:val="003D08BA"/>
    <w:rsid w:val="003D0FF6"/>
    <w:rsid w:val="003D262C"/>
    <w:rsid w:val="003D4E01"/>
    <w:rsid w:val="003D4E86"/>
    <w:rsid w:val="003D6428"/>
    <w:rsid w:val="003D6D61"/>
    <w:rsid w:val="003D7F9B"/>
    <w:rsid w:val="003E091D"/>
    <w:rsid w:val="003E1C53"/>
    <w:rsid w:val="003E2A69"/>
    <w:rsid w:val="003E2D49"/>
    <w:rsid w:val="003E2FD4"/>
    <w:rsid w:val="003E49F6"/>
    <w:rsid w:val="003E5622"/>
    <w:rsid w:val="003E660F"/>
    <w:rsid w:val="003F0841"/>
    <w:rsid w:val="003F23D3"/>
    <w:rsid w:val="003F3F08"/>
    <w:rsid w:val="003F49F1"/>
    <w:rsid w:val="003F58DA"/>
    <w:rsid w:val="003F611B"/>
    <w:rsid w:val="003F6272"/>
    <w:rsid w:val="00400E72"/>
    <w:rsid w:val="00400F5D"/>
    <w:rsid w:val="004011FD"/>
    <w:rsid w:val="00401400"/>
    <w:rsid w:val="00404869"/>
    <w:rsid w:val="00405884"/>
    <w:rsid w:val="00405DF7"/>
    <w:rsid w:val="00407D39"/>
    <w:rsid w:val="004107BA"/>
    <w:rsid w:val="004109CC"/>
    <w:rsid w:val="004111D6"/>
    <w:rsid w:val="00411E47"/>
    <w:rsid w:val="00413E39"/>
    <w:rsid w:val="0041477A"/>
    <w:rsid w:val="004167A3"/>
    <w:rsid w:val="004178C3"/>
    <w:rsid w:val="0042082B"/>
    <w:rsid w:val="004211ED"/>
    <w:rsid w:val="004263B2"/>
    <w:rsid w:val="00432DAA"/>
    <w:rsid w:val="00434305"/>
    <w:rsid w:val="00435DF7"/>
    <w:rsid w:val="0044083F"/>
    <w:rsid w:val="00441AE7"/>
    <w:rsid w:val="004452D9"/>
    <w:rsid w:val="00445574"/>
    <w:rsid w:val="004467FB"/>
    <w:rsid w:val="00447969"/>
    <w:rsid w:val="00450437"/>
    <w:rsid w:val="00452D6B"/>
    <w:rsid w:val="00454484"/>
    <w:rsid w:val="0045517B"/>
    <w:rsid w:val="00461845"/>
    <w:rsid w:val="00463B77"/>
    <w:rsid w:val="00463C7B"/>
    <w:rsid w:val="004644A6"/>
    <w:rsid w:val="004659BD"/>
    <w:rsid w:val="00465B8D"/>
    <w:rsid w:val="00470775"/>
    <w:rsid w:val="0047104D"/>
    <w:rsid w:val="00472523"/>
    <w:rsid w:val="004746B1"/>
    <w:rsid w:val="0047567B"/>
    <w:rsid w:val="0047583F"/>
    <w:rsid w:val="00475DE8"/>
    <w:rsid w:val="00481C44"/>
    <w:rsid w:val="004831A6"/>
    <w:rsid w:val="00484936"/>
    <w:rsid w:val="004853A2"/>
    <w:rsid w:val="004853F4"/>
    <w:rsid w:val="00485C89"/>
    <w:rsid w:val="00486BE3"/>
    <w:rsid w:val="004905E4"/>
    <w:rsid w:val="00490A89"/>
    <w:rsid w:val="00490AB4"/>
    <w:rsid w:val="00492F02"/>
    <w:rsid w:val="004939AE"/>
    <w:rsid w:val="00493ED1"/>
    <w:rsid w:val="00494E4D"/>
    <w:rsid w:val="00496325"/>
    <w:rsid w:val="004A0F62"/>
    <w:rsid w:val="004A10A2"/>
    <w:rsid w:val="004A1148"/>
    <w:rsid w:val="004A12DF"/>
    <w:rsid w:val="004A1A23"/>
    <w:rsid w:val="004A1BA8"/>
    <w:rsid w:val="004A4B57"/>
    <w:rsid w:val="004A5EF7"/>
    <w:rsid w:val="004A63FA"/>
    <w:rsid w:val="004A6A3D"/>
    <w:rsid w:val="004A6E68"/>
    <w:rsid w:val="004B0272"/>
    <w:rsid w:val="004B2701"/>
    <w:rsid w:val="004B2E1B"/>
    <w:rsid w:val="004B3AA8"/>
    <w:rsid w:val="004B3E93"/>
    <w:rsid w:val="004C1FBC"/>
    <w:rsid w:val="004C254C"/>
    <w:rsid w:val="004C25A2"/>
    <w:rsid w:val="004C3F1D"/>
    <w:rsid w:val="004C458D"/>
    <w:rsid w:val="004C6C0A"/>
    <w:rsid w:val="004C709F"/>
    <w:rsid w:val="004C7556"/>
    <w:rsid w:val="004C784E"/>
    <w:rsid w:val="004C7E8B"/>
    <w:rsid w:val="004C7E9D"/>
    <w:rsid w:val="004C7F67"/>
    <w:rsid w:val="004D076D"/>
    <w:rsid w:val="004D0EF1"/>
    <w:rsid w:val="004D2253"/>
    <w:rsid w:val="004D4406"/>
    <w:rsid w:val="004D7C42"/>
    <w:rsid w:val="004E0465"/>
    <w:rsid w:val="004E127B"/>
    <w:rsid w:val="004E1C0A"/>
    <w:rsid w:val="004E30C5"/>
    <w:rsid w:val="004E42B0"/>
    <w:rsid w:val="004E4AA5"/>
    <w:rsid w:val="004E4AEE"/>
    <w:rsid w:val="004E59E3"/>
    <w:rsid w:val="004E67C0"/>
    <w:rsid w:val="004F0276"/>
    <w:rsid w:val="004F302E"/>
    <w:rsid w:val="004F391A"/>
    <w:rsid w:val="004F3CFB"/>
    <w:rsid w:val="004F5E2B"/>
    <w:rsid w:val="004F6456"/>
    <w:rsid w:val="004F696E"/>
    <w:rsid w:val="004F6C71"/>
    <w:rsid w:val="004F71FF"/>
    <w:rsid w:val="00500B5F"/>
    <w:rsid w:val="00501139"/>
    <w:rsid w:val="00501CBF"/>
    <w:rsid w:val="0050363E"/>
    <w:rsid w:val="005039BC"/>
    <w:rsid w:val="005043BB"/>
    <w:rsid w:val="00504A3D"/>
    <w:rsid w:val="00504C12"/>
    <w:rsid w:val="00505767"/>
    <w:rsid w:val="005073F0"/>
    <w:rsid w:val="00510A7B"/>
    <w:rsid w:val="00512F6E"/>
    <w:rsid w:val="00513038"/>
    <w:rsid w:val="00514174"/>
    <w:rsid w:val="00516088"/>
    <w:rsid w:val="00516B0B"/>
    <w:rsid w:val="00517438"/>
    <w:rsid w:val="00517CE3"/>
    <w:rsid w:val="00517EB0"/>
    <w:rsid w:val="0052014D"/>
    <w:rsid w:val="005220EC"/>
    <w:rsid w:val="00523F95"/>
    <w:rsid w:val="00524D65"/>
    <w:rsid w:val="00525B16"/>
    <w:rsid w:val="005264B0"/>
    <w:rsid w:val="00531B03"/>
    <w:rsid w:val="0053276E"/>
    <w:rsid w:val="00533D04"/>
    <w:rsid w:val="00534804"/>
    <w:rsid w:val="00534BDF"/>
    <w:rsid w:val="005354EA"/>
    <w:rsid w:val="0053585F"/>
    <w:rsid w:val="00535EC4"/>
    <w:rsid w:val="00535ED9"/>
    <w:rsid w:val="0053692B"/>
    <w:rsid w:val="00541853"/>
    <w:rsid w:val="00542906"/>
    <w:rsid w:val="00543BDA"/>
    <w:rsid w:val="005441CC"/>
    <w:rsid w:val="005479DA"/>
    <w:rsid w:val="00547BCC"/>
    <w:rsid w:val="0055013B"/>
    <w:rsid w:val="00551F6F"/>
    <w:rsid w:val="00555044"/>
    <w:rsid w:val="0055700B"/>
    <w:rsid w:val="00561475"/>
    <w:rsid w:val="00562308"/>
    <w:rsid w:val="00563BFC"/>
    <w:rsid w:val="0056487B"/>
    <w:rsid w:val="00564FB9"/>
    <w:rsid w:val="00565CFD"/>
    <w:rsid w:val="005676B6"/>
    <w:rsid w:val="00571A9B"/>
    <w:rsid w:val="00571D02"/>
    <w:rsid w:val="00573D9E"/>
    <w:rsid w:val="005748ED"/>
    <w:rsid w:val="00576216"/>
    <w:rsid w:val="005801E3"/>
    <w:rsid w:val="00580D04"/>
    <w:rsid w:val="00581802"/>
    <w:rsid w:val="005818D3"/>
    <w:rsid w:val="005836A8"/>
    <w:rsid w:val="0058409C"/>
    <w:rsid w:val="00584262"/>
    <w:rsid w:val="00584B41"/>
    <w:rsid w:val="00586630"/>
    <w:rsid w:val="00587ADD"/>
    <w:rsid w:val="00593A49"/>
    <w:rsid w:val="00596160"/>
    <w:rsid w:val="005966E2"/>
    <w:rsid w:val="00597007"/>
    <w:rsid w:val="005A00D8"/>
    <w:rsid w:val="005A0966"/>
    <w:rsid w:val="005A11B7"/>
    <w:rsid w:val="005A246C"/>
    <w:rsid w:val="005A260B"/>
    <w:rsid w:val="005A4A1B"/>
    <w:rsid w:val="005A5B3B"/>
    <w:rsid w:val="005A7830"/>
    <w:rsid w:val="005A7FCE"/>
    <w:rsid w:val="005B0B20"/>
    <w:rsid w:val="005B0F3F"/>
    <w:rsid w:val="005B191C"/>
    <w:rsid w:val="005B4903"/>
    <w:rsid w:val="005B51CE"/>
    <w:rsid w:val="005B5322"/>
    <w:rsid w:val="005B5885"/>
    <w:rsid w:val="005B5CD7"/>
    <w:rsid w:val="005B6897"/>
    <w:rsid w:val="005B6CF6"/>
    <w:rsid w:val="005B7422"/>
    <w:rsid w:val="005C156B"/>
    <w:rsid w:val="005C29B8"/>
    <w:rsid w:val="005C3FC4"/>
    <w:rsid w:val="005C4754"/>
    <w:rsid w:val="005C5DC6"/>
    <w:rsid w:val="005C5E17"/>
    <w:rsid w:val="005C5F21"/>
    <w:rsid w:val="005C6796"/>
    <w:rsid w:val="005C7156"/>
    <w:rsid w:val="005D0C75"/>
    <w:rsid w:val="005D25B5"/>
    <w:rsid w:val="005D4171"/>
    <w:rsid w:val="005D4297"/>
    <w:rsid w:val="005D6A29"/>
    <w:rsid w:val="005D6A95"/>
    <w:rsid w:val="005D6B2C"/>
    <w:rsid w:val="005D6D9C"/>
    <w:rsid w:val="005E12DD"/>
    <w:rsid w:val="005E2335"/>
    <w:rsid w:val="005E34CA"/>
    <w:rsid w:val="005E3A88"/>
    <w:rsid w:val="005E3C18"/>
    <w:rsid w:val="005E4250"/>
    <w:rsid w:val="005E6812"/>
    <w:rsid w:val="005E6BA2"/>
    <w:rsid w:val="005E76EA"/>
    <w:rsid w:val="005E7881"/>
    <w:rsid w:val="005E78E0"/>
    <w:rsid w:val="005F0D9C"/>
    <w:rsid w:val="005F1189"/>
    <w:rsid w:val="005F284E"/>
    <w:rsid w:val="005F2F27"/>
    <w:rsid w:val="005F7217"/>
    <w:rsid w:val="0060058A"/>
    <w:rsid w:val="00601363"/>
    <w:rsid w:val="006015CE"/>
    <w:rsid w:val="00602344"/>
    <w:rsid w:val="00604784"/>
    <w:rsid w:val="006060D6"/>
    <w:rsid w:val="00606419"/>
    <w:rsid w:val="00607D29"/>
    <w:rsid w:val="00612952"/>
    <w:rsid w:val="00614CC1"/>
    <w:rsid w:val="00615A9D"/>
    <w:rsid w:val="006167CA"/>
    <w:rsid w:val="00617387"/>
    <w:rsid w:val="006205D6"/>
    <w:rsid w:val="00623F6C"/>
    <w:rsid w:val="006252D8"/>
    <w:rsid w:val="006259BC"/>
    <w:rsid w:val="0062636B"/>
    <w:rsid w:val="00632182"/>
    <w:rsid w:val="00632AE0"/>
    <w:rsid w:val="00633C17"/>
    <w:rsid w:val="00634D9E"/>
    <w:rsid w:val="00635F3B"/>
    <w:rsid w:val="00636E3E"/>
    <w:rsid w:val="006379F7"/>
    <w:rsid w:val="00637E4D"/>
    <w:rsid w:val="00640620"/>
    <w:rsid w:val="00641A1F"/>
    <w:rsid w:val="00643189"/>
    <w:rsid w:val="00645904"/>
    <w:rsid w:val="00651ACB"/>
    <w:rsid w:val="00651C47"/>
    <w:rsid w:val="00652AB2"/>
    <w:rsid w:val="006538B4"/>
    <w:rsid w:val="00653FED"/>
    <w:rsid w:val="00654EC0"/>
    <w:rsid w:val="0065525B"/>
    <w:rsid w:val="00655D4F"/>
    <w:rsid w:val="00656D29"/>
    <w:rsid w:val="006640E5"/>
    <w:rsid w:val="006646F1"/>
    <w:rsid w:val="00664929"/>
    <w:rsid w:val="00664F62"/>
    <w:rsid w:val="006655E1"/>
    <w:rsid w:val="006656CA"/>
    <w:rsid w:val="00672060"/>
    <w:rsid w:val="00672BFD"/>
    <w:rsid w:val="00674065"/>
    <w:rsid w:val="006770F4"/>
    <w:rsid w:val="00677A84"/>
    <w:rsid w:val="0068026D"/>
    <w:rsid w:val="00680A27"/>
    <w:rsid w:val="006816A4"/>
    <w:rsid w:val="006819B8"/>
    <w:rsid w:val="006840A6"/>
    <w:rsid w:val="00684320"/>
    <w:rsid w:val="006850CD"/>
    <w:rsid w:val="00685AAB"/>
    <w:rsid w:val="00686809"/>
    <w:rsid w:val="006902FD"/>
    <w:rsid w:val="006906F4"/>
    <w:rsid w:val="006A01F2"/>
    <w:rsid w:val="006A07AA"/>
    <w:rsid w:val="006A25E5"/>
    <w:rsid w:val="006A2B46"/>
    <w:rsid w:val="006A336D"/>
    <w:rsid w:val="006A37B9"/>
    <w:rsid w:val="006B2672"/>
    <w:rsid w:val="006B4117"/>
    <w:rsid w:val="006B4299"/>
    <w:rsid w:val="006B54BF"/>
    <w:rsid w:val="006B5F44"/>
    <w:rsid w:val="006B5F90"/>
    <w:rsid w:val="006B62E4"/>
    <w:rsid w:val="006C149F"/>
    <w:rsid w:val="006C1BBA"/>
    <w:rsid w:val="006C2079"/>
    <w:rsid w:val="006C26AA"/>
    <w:rsid w:val="006C2B81"/>
    <w:rsid w:val="006C5A62"/>
    <w:rsid w:val="006C5D68"/>
    <w:rsid w:val="006C6976"/>
    <w:rsid w:val="006C6DD0"/>
    <w:rsid w:val="006C7351"/>
    <w:rsid w:val="006C7A98"/>
    <w:rsid w:val="006D04EA"/>
    <w:rsid w:val="006D16C4"/>
    <w:rsid w:val="006D3E96"/>
    <w:rsid w:val="006D4515"/>
    <w:rsid w:val="006D4BB1"/>
    <w:rsid w:val="006D6593"/>
    <w:rsid w:val="006D7197"/>
    <w:rsid w:val="006D75BC"/>
    <w:rsid w:val="006E4C2E"/>
    <w:rsid w:val="006E784C"/>
    <w:rsid w:val="006F03A8"/>
    <w:rsid w:val="006F1906"/>
    <w:rsid w:val="006F2ACA"/>
    <w:rsid w:val="006F2ADC"/>
    <w:rsid w:val="006F2BFE"/>
    <w:rsid w:val="006F31E9"/>
    <w:rsid w:val="006F3F9C"/>
    <w:rsid w:val="006F4AAC"/>
    <w:rsid w:val="006F6284"/>
    <w:rsid w:val="007002C5"/>
    <w:rsid w:val="007003D7"/>
    <w:rsid w:val="007005A1"/>
    <w:rsid w:val="00704387"/>
    <w:rsid w:val="00707669"/>
    <w:rsid w:val="00711CBA"/>
    <w:rsid w:val="00711FB5"/>
    <w:rsid w:val="00712A01"/>
    <w:rsid w:val="00714F58"/>
    <w:rsid w:val="0071760A"/>
    <w:rsid w:val="0072273E"/>
    <w:rsid w:val="00722FBF"/>
    <w:rsid w:val="00722FC2"/>
    <w:rsid w:val="00724325"/>
    <w:rsid w:val="00724E1B"/>
    <w:rsid w:val="00725949"/>
    <w:rsid w:val="00726886"/>
    <w:rsid w:val="0072783C"/>
    <w:rsid w:val="00727FA2"/>
    <w:rsid w:val="007322D9"/>
    <w:rsid w:val="00732BC0"/>
    <w:rsid w:val="0073444E"/>
    <w:rsid w:val="0073720F"/>
    <w:rsid w:val="00737796"/>
    <w:rsid w:val="00740BC9"/>
    <w:rsid w:val="0074165C"/>
    <w:rsid w:val="00742C35"/>
    <w:rsid w:val="007432CA"/>
    <w:rsid w:val="007439EB"/>
    <w:rsid w:val="00743CB4"/>
    <w:rsid w:val="00743F0A"/>
    <w:rsid w:val="007444E8"/>
    <w:rsid w:val="00744EE7"/>
    <w:rsid w:val="0074548E"/>
    <w:rsid w:val="00745773"/>
    <w:rsid w:val="00746800"/>
    <w:rsid w:val="007501A8"/>
    <w:rsid w:val="00750D61"/>
    <w:rsid w:val="00750EE1"/>
    <w:rsid w:val="00751649"/>
    <w:rsid w:val="00752523"/>
    <w:rsid w:val="00752B4D"/>
    <w:rsid w:val="007534FD"/>
    <w:rsid w:val="0075356B"/>
    <w:rsid w:val="00755402"/>
    <w:rsid w:val="00756B26"/>
    <w:rsid w:val="00756EDF"/>
    <w:rsid w:val="007600E3"/>
    <w:rsid w:val="00765C43"/>
    <w:rsid w:val="00765ECE"/>
    <w:rsid w:val="00765EFB"/>
    <w:rsid w:val="00766628"/>
    <w:rsid w:val="007671CA"/>
    <w:rsid w:val="00767C61"/>
    <w:rsid w:val="00767DF2"/>
    <w:rsid w:val="0077008A"/>
    <w:rsid w:val="00770550"/>
    <w:rsid w:val="00773C1F"/>
    <w:rsid w:val="00774DA4"/>
    <w:rsid w:val="00776599"/>
    <w:rsid w:val="00776CB6"/>
    <w:rsid w:val="0078114B"/>
    <w:rsid w:val="00781C0F"/>
    <w:rsid w:val="00781DD2"/>
    <w:rsid w:val="00783A8B"/>
    <w:rsid w:val="00783ECF"/>
    <w:rsid w:val="0078413A"/>
    <w:rsid w:val="007871FE"/>
    <w:rsid w:val="00791554"/>
    <w:rsid w:val="0079167F"/>
    <w:rsid w:val="007959E8"/>
    <w:rsid w:val="00795C6B"/>
    <w:rsid w:val="00795E9C"/>
    <w:rsid w:val="007A0521"/>
    <w:rsid w:val="007A2E12"/>
    <w:rsid w:val="007A3475"/>
    <w:rsid w:val="007A41C8"/>
    <w:rsid w:val="007A54CE"/>
    <w:rsid w:val="007A5D36"/>
    <w:rsid w:val="007A6FD9"/>
    <w:rsid w:val="007A7FFA"/>
    <w:rsid w:val="007B04EB"/>
    <w:rsid w:val="007B0D4F"/>
    <w:rsid w:val="007B0F69"/>
    <w:rsid w:val="007B4812"/>
    <w:rsid w:val="007B5A3D"/>
    <w:rsid w:val="007B5B95"/>
    <w:rsid w:val="007B6032"/>
    <w:rsid w:val="007B68EA"/>
    <w:rsid w:val="007B7453"/>
    <w:rsid w:val="007C2615"/>
    <w:rsid w:val="007C2A9B"/>
    <w:rsid w:val="007C2D89"/>
    <w:rsid w:val="007C3113"/>
    <w:rsid w:val="007C4593"/>
    <w:rsid w:val="007C5309"/>
    <w:rsid w:val="007C5AF6"/>
    <w:rsid w:val="007C6069"/>
    <w:rsid w:val="007D06C4"/>
    <w:rsid w:val="007D1352"/>
    <w:rsid w:val="007D2508"/>
    <w:rsid w:val="007D346A"/>
    <w:rsid w:val="007D4289"/>
    <w:rsid w:val="007D6518"/>
    <w:rsid w:val="007D76BD"/>
    <w:rsid w:val="007E0BF1"/>
    <w:rsid w:val="007E7D9C"/>
    <w:rsid w:val="007F0ED8"/>
    <w:rsid w:val="007F0F63"/>
    <w:rsid w:val="007F288A"/>
    <w:rsid w:val="007F5CDD"/>
    <w:rsid w:val="007F61D9"/>
    <w:rsid w:val="007F6214"/>
    <w:rsid w:val="007F6D35"/>
    <w:rsid w:val="007F75CE"/>
    <w:rsid w:val="008013A4"/>
    <w:rsid w:val="008027CE"/>
    <w:rsid w:val="00802F42"/>
    <w:rsid w:val="00804383"/>
    <w:rsid w:val="00804BB7"/>
    <w:rsid w:val="00804D41"/>
    <w:rsid w:val="00807781"/>
    <w:rsid w:val="00807BE3"/>
    <w:rsid w:val="00810257"/>
    <w:rsid w:val="008104F5"/>
    <w:rsid w:val="00811072"/>
    <w:rsid w:val="00811369"/>
    <w:rsid w:val="00811676"/>
    <w:rsid w:val="008118BD"/>
    <w:rsid w:val="00812AD1"/>
    <w:rsid w:val="0081524F"/>
    <w:rsid w:val="0081531E"/>
    <w:rsid w:val="00815419"/>
    <w:rsid w:val="008163C8"/>
    <w:rsid w:val="008164A1"/>
    <w:rsid w:val="00817325"/>
    <w:rsid w:val="008209E6"/>
    <w:rsid w:val="008215C9"/>
    <w:rsid w:val="0082308C"/>
    <w:rsid w:val="00823303"/>
    <w:rsid w:val="008233B2"/>
    <w:rsid w:val="008236F5"/>
    <w:rsid w:val="00823A9F"/>
    <w:rsid w:val="00823C85"/>
    <w:rsid w:val="0082406E"/>
    <w:rsid w:val="00825138"/>
    <w:rsid w:val="008269DD"/>
    <w:rsid w:val="00830621"/>
    <w:rsid w:val="00833437"/>
    <w:rsid w:val="0083348C"/>
    <w:rsid w:val="00835848"/>
    <w:rsid w:val="00837148"/>
    <w:rsid w:val="008373D3"/>
    <w:rsid w:val="0083795C"/>
    <w:rsid w:val="00840617"/>
    <w:rsid w:val="00840980"/>
    <w:rsid w:val="00840F84"/>
    <w:rsid w:val="00841767"/>
    <w:rsid w:val="008420AC"/>
    <w:rsid w:val="00842A47"/>
    <w:rsid w:val="00843C13"/>
    <w:rsid w:val="00843D46"/>
    <w:rsid w:val="008454F8"/>
    <w:rsid w:val="008472D7"/>
    <w:rsid w:val="0085173A"/>
    <w:rsid w:val="008537F7"/>
    <w:rsid w:val="00856376"/>
    <w:rsid w:val="008603CE"/>
    <w:rsid w:val="00861A81"/>
    <w:rsid w:val="008620FC"/>
    <w:rsid w:val="008624C4"/>
    <w:rsid w:val="008627A5"/>
    <w:rsid w:val="00863E05"/>
    <w:rsid w:val="00865ACA"/>
    <w:rsid w:val="00865D28"/>
    <w:rsid w:val="00865F85"/>
    <w:rsid w:val="00867081"/>
    <w:rsid w:val="00867B4B"/>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447"/>
    <w:rsid w:val="00896DFF"/>
    <w:rsid w:val="0089762C"/>
    <w:rsid w:val="008A173B"/>
    <w:rsid w:val="008A1893"/>
    <w:rsid w:val="008A271A"/>
    <w:rsid w:val="008A57E6"/>
    <w:rsid w:val="008A6BBC"/>
    <w:rsid w:val="008A6F81"/>
    <w:rsid w:val="008A769A"/>
    <w:rsid w:val="008B0C9C"/>
    <w:rsid w:val="008B166D"/>
    <w:rsid w:val="008B17F4"/>
    <w:rsid w:val="008B3615"/>
    <w:rsid w:val="008B4AC4"/>
    <w:rsid w:val="008B50C8"/>
    <w:rsid w:val="008B5281"/>
    <w:rsid w:val="008B6729"/>
    <w:rsid w:val="008B7E05"/>
    <w:rsid w:val="008C0155"/>
    <w:rsid w:val="008C1797"/>
    <w:rsid w:val="008C219C"/>
    <w:rsid w:val="008C475E"/>
    <w:rsid w:val="008C604C"/>
    <w:rsid w:val="008C619A"/>
    <w:rsid w:val="008C6A50"/>
    <w:rsid w:val="008D0CE8"/>
    <w:rsid w:val="008D1D67"/>
    <w:rsid w:val="008D2D1D"/>
    <w:rsid w:val="008D453D"/>
    <w:rsid w:val="008D53AD"/>
    <w:rsid w:val="008D562B"/>
    <w:rsid w:val="008D5733"/>
    <w:rsid w:val="008D5EE8"/>
    <w:rsid w:val="008D622B"/>
    <w:rsid w:val="008D666C"/>
    <w:rsid w:val="008D7B54"/>
    <w:rsid w:val="008E0C9D"/>
    <w:rsid w:val="008E1648"/>
    <w:rsid w:val="008E1B3E"/>
    <w:rsid w:val="008E2319"/>
    <w:rsid w:val="008E4BB6"/>
    <w:rsid w:val="008E5518"/>
    <w:rsid w:val="008E6A84"/>
    <w:rsid w:val="008E6DC7"/>
    <w:rsid w:val="008E7A97"/>
    <w:rsid w:val="008F0CDC"/>
    <w:rsid w:val="008F17A3"/>
    <w:rsid w:val="008F1ED3"/>
    <w:rsid w:val="008F36F3"/>
    <w:rsid w:val="008F3738"/>
    <w:rsid w:val="008F4C29"/>
    <w:rsid w:val="008F551B"/>
    <w:rsid w:val="008F70BD"/>
    <w:rsid w:val="008F788F"/>
    <w:rsid w:val="008F7EA2"/>
    <w:rsid w:val="00902722"/>
    <w:rsid w:val="009027BC"/>
    <w:rsid w:val="00903ACE"/>
    <w:rsid w:val="009062E6"/>
    <w:rsid w:val="00907196"/>
    <w:rsid w:val="00911136"/>
    <w:rsid w:val="00911BE5"/>
    <w:rsid w:val="00911C97"/>
    <w:rsid w:val="00911D14"/>
    <w:rsid w:val="00913201"/>
    <w:rsid w:val="00913CA9"/>
    <w:rsid w:val="009145AE"/>
    <w:rsid w:val="009146CE"/>
    <w:rsid w:val="00914CA7"/>
    <w:rsid w:val="00915C3E"/>
    <w:rsid w:val="009161A8"/>
    <w:rsid w:val="009169B5"/>
    <w:rsid w:val="0092346C"/>
    <w:rsid w:val="009245AE"/>
    <w:rsid w:val="009245F5"/>
    <w:rsid w:val="009249EC"/>
    <w:rsid w:val="009273B3"/>
    <w:rsid w:val="009305B5"/>
    <w:rsid w:val="00930AC8"/>
    <w:rsid w:val="0093321C"/>
    <w:rsid w:val="00936E25"/>
    <w:rsid w:val="0093726D"/>
    <w:rsid w:val="009378DD"/>
    <w:rsid w:val="009429D5"/>
    <w:rsid w:val="00942BF1"/>
    <w:rsid w:val="00945180"/>
    <w:rsid w:val="00945428"/>
    <w:rsid w:val="0094607B"/>
    <w:rsid w:val="00953604"/>
    <w:rsid w:val="00953CFC"/>
    <w:rsid w:val="0095496B"/>
    <w:rsid w:val="0095778A"/>
    <w:rsid w:val="009577C9"/>
    <w:rsid w:val="00960F1E"/>
    <w:rsid w:val="009610DC"/>
    <w:rsid w:val="00961490"/>
    <w:rsid w:val="00963466"/>
    <w:rsid w:val="0096381A"/>
    <w:rsid w:val="009643D6"/>
    <w:rsid w:val="00965C94"/>
    <w:rsid w:val="00965E04"/>
    <w:rsid w:val="009674AD"/>
    <w:rsid w:val="00970CDC"/>
    <w:rsid w:val="00974F46"/>
    <w:rsid w:val="00975727"/>
    <w:rsid w:val="00977010"/>
    <w:rsid w:val="00977D02"/>
    <w:rsid w:val="00977FF9"/>
    <w:rsid w:val="009809BB"/>
    <w:rsid w:val="009812BF"/>
    <w:rsid w:val="00983266"/>
    <w:rsid w:val="0098364B"/>
    <w:rsid w:val="0098502A"/>
    <w:rsid w:val="009911AF"/>
    <w:rsid w:val="00991875"/>
    <w:rsid w:val="00991F92"/>
    <w:rsid w:val="0099262A"/>
    <w:rsid w:val="00992985"/>
    <w:rsid w:val="00993889"/>
    <w:rsid w:val="0099551B"/>
    <w:rsid w:val="00996BD2"/>
    <w:rsid w:val="00997081"/>
    <w:rsid w:val="00997BF1"/>
    <w:rsid w:val="009A089C"/>
    <w:rsid w:val="009A118E"/>
    <w:rsid w:val="009A21CD"/>
    <w:rsid w:val="009A2695"/>
    <w:rsid w:val="009A278C"/>
    <w:rsid w:val="009A2BC2"/>
    <w:rsid w:val="009A42C1"/>
    <w:rsid w:val="009A5429"/>
    <w:rsid w:val="009A6BBB"/>
    <w:rsid w:val="009A6D18"/>
    <w:rsid w:val="009A72AD"/>
    <w:rsid w:val="009B09E0"/>
    <w:rsid w:val="009B0BC5"/>
    <w:rsid w:val="009B1247"/>
    <w:rsid w:val="009B1278"/>
    <w:rsid w:val="009B6029"/>
    <w:rsid w:val="009B6971"/>
    <w:rsid w:val="009B6AC7"/>
    <w:rsid w:val="009B759E"/>
    <w:rsid w:val="009B7DC7"/>
    <w:rsid w:val="009C0CFF"/>
    <w:rsid w:val="009C27F1"/>
    <w:rsid w:val="009C2BFB"/>
    <w:rsid w:val="009C3152"/>
    <w:rsid w:val="009C3257"/>
    <w:rsid w:val="009C3453"/>
    <w:rsid w:val="009C4AE3"/>
    <w:rsid w:val="009C4CFA"/>
    <w:rsid w:val="009C5070"/>
    <w:rsid w:val="009D112C"/>
    <w:rsid w:val="009D1385"/>
    <w:rsid w:val="009D390E"/>
    <w:rsid w:val="009D4268"/>
    <w:rsid w:val="009D47FA"/>
    <w:rsid w:val="009D4C5B"/>
    <w:rsid w:val="009D50D2"/>
    <w:rsid w:val="009D6BCA"/>
    <w:rsid w:val="009E0F62"/>
    <w:rsid w:val="009E4A58"/>
    <w:rsid w:val="009E5A2D"/>
    <w:rsid w:val="009E5AB2"/>
    <w:rsid w:val="009E60CF"/>
    <w:rsid w:val="009E6219"/>
    <w:rsid w:val="009E6868"/>
    <w:rsid w:val="009E735B"/>
    <w:rsid w:val="009E7D92"/>
    <w:rsid w:val="009F03B3"/>
    <w:rsid w:val="009F26DB"/>
    <w:rsid w:val="009F2816"/>
    <w:rsid w:val="00A0096C"/>
    <w:rsid w:val="00A01757"/>
    <w:rsid w:val="00A028C0"/>
    <w:rsid w:val="00A02BAE"/>
    <w:rsid w:val="00A04CA8"/>
    <w:rsid w:val="00A06A6B"/>
    <w:rsid w:val="00A07E47"/>
    <w:rsid w:val="00A129D0"/>
    <w:rsid w:val="00A12C33"/>
    <w:rsid w:val="00A138BA"/>
    <w:rsid w:val="00A14C8E"/>
    <w:rsid w:val="00A153D9"/>
    <w:rsid w:val="00A15F09"/>
    <w:rsid w:val="00A1604D"/>
    <w:rsid w:val="00A169B6"/>
    <w:rsid w:val="00A17BF6"/>
    <w:rsid w:val="00A2271D"/>
    <w:rsid w:val="00A237D5"/>
    <w:rsid w:val="00A23FFF"/>
    <w:rsid w:val="00A27C1E"/>
    <w:rsid w:val="00A30C7A"/>
    <w:rsid w:val="00A30EFC"/>
    <w:rsid w:val="00A31984"/>
    <w:rsid w:val="00A32D73"/>
    <w:rsid w:val="00A3367B"/>
    <w:rsid w:val="00A3597D"/>
    <w:rsid w:val="00A36DD1"/>
    <w:rsid w:val="00A4006C"/>
    <w:rsid w:val="00A40091"/>
    <w:rsid w:val="00A4030F"/>
    <w:rsid w:val="00A4122F"/>
    <w:rsid w:val="00A41C79"/>
    <w:rsid w:val="00A41CB5"/>
    <w:rsid w:val="00A42CDF"/>
    <w:rsid w:val="00A4452E"/>
    <w:rsid w:val="00A4472C"/>
    <w:rsid w:val="00A44E69"/>
    <w:rsid w:val="00A458A1"/>
    <w:rsid w:val="00A4661E"/>
    <w:rsid w:val="00A543CA"/>
    <w:rsid w:val="00A54EF2"/>
    <w:rsid w:val="00A551B7"/>
    <w:rsid w:val="00A55BD6"/>
    <w:rsid w:val="00A55D50"/>
    <w:rsid w:val="00A57142"/>
    <w:rsid w:val="00A60525"/>
    <w:rsid w:val="00A61318"/>
    <w:rsid w:val="00A62685"/>
    <w:rsid w:val="00A648CD"/>
    <w:rsid w:val="00A6537A"/>
    <w:rsid w:val="00A6587E"/>
    <w:rsid w:val="00A66CCE"/>
    <w:rsid w:val="00A67866"/>
    <w:rsid w:val="00A67D62"/>
    <w:rsid w:val="00A70755"/>
    <w:rsid w:val="00A70B07"/>
    <w:rsid w:val="00A723F8"/>
    <w:rsid w:val="00A72C95"/>
    <w:rsid w:val="00A77CCB"/>
    <w:rsid w:val="00A83D8D"/>
    <w:rsid w:val="00A83E6E"/>
    <w:rsid w:val="00A8446B"/>
    <w:rsid w:val="00A8473F"/>
    <w:rsid w:val="00A862D6"/>
    <w:rsid w:val="00A8715E"/>
    <w:rsid w:val="00A90D4D"/>
    <w:rsid w:val="00A9295B"/>
    <w:rsid w:val="00A93B09"/>
    <w:rsid w:val="00A941F4"/>
    <w:rsid w:val="00A952D7"/>
    <w:rsid w:val="00A963F7"/>
    <w:rsid w:val="00A96AD8"/>
    <w:rsid w:val="00A975EE"/>
    <w:rsid w:val="00AA052C"/>
    <w:rsid w:val="00AA05F0"/>
    <w:rsid w:val="00AA1E45"/>
    <w:rsid w:val="00AA2232"/>
    <w:rsid w:val="00AA2393"/>
    <w:rsid w:val="00AA4286"/>
    <w:rsid w:val="00AA456B"/>
    <w:rsid w:val="00AA50E0"/>
    <w:rsid w:val="00AA57F5"/>
    <w:rsid w:val="00AA656B"/>
    <w:rsid w:val="00AA672E"/>
    <w:rsid w:val="00AA6EC9"/>
    <w:rsid w:val="00AB2314"/>
    <w:rsid w:val="00AB484E"/>
    <w:rsid w:val="00AB542C"/>
    <w:rsid w:val="00AB6309"/>
    <w:rsid w:val="00AB6C5F"/>
    <w:rsid w:val="00AB7129"/>
    <w:rsid w:val="00AC27A6"/>
    <w:rsid w:val="00AC27E2"/>
    <w:rsid w:val="00AC30F7"/>
    <w:rsid w:val="00AC3A5A"/>
    <w:rsid w:val="00AC3CBD"/>
    <w:rsid w:val="00AC4D95"/>
    <w:rsid w:val="00AC5DF4"/>
    <w:rsid w:val="00AC75DB"/>
    <w:rsid w:val="00AD0AEF"/>
    <w:rsid w:val="00AD0F02"/>
    <w:rsid w:val="00AD11B7"/>
    <w:rsid w:val="00AD199E"/>
    <w:rsid w:val="00AD1A94"/>
    <w:rsid w:val="00AD1C05"/>
    <w:rsid w:val="00AD2577"/>
    <w:rsid w:val="00AD4126"/>
    <w:rsid w:val="00AD421C"/>
    <w:rsid w:val="00AD44FA"/>
    <w:rsid w:val="00AE070A"/>
    <w:rsid w:val="00AE101C"/>
    <w:rsid w:val="00AE2A69"/>
    <w:rsid w:val="00AE30F9"/>
    <w:rsid w:val="00AE37E5"/>
    <w:rsid w:val="00AE5EB4"/>
    <w:rsid w:val="00AE761F"/>
    <w:rsid w:val="00AF01C5"/>
    <w:rsid w:val="00AF0C18"/>
    <w:rsid w:val="00AF47C5"/>
    <w:rsid w:val="00AF5398"/>
    <w:rsid w:val="00B00263"/>
    <w:rsid w:val="00B033B2"/>
    <w:rsid w:val="00B049AF"/>
    <w:rsid w:val="00B07242"/>
    <w:rsid w:val="00B07EAD"/>
    <w:rsid w:val="00B07FB0"/>
    <w:rsid w:val="00B10534"/>
    <w:rsid w:val="00B113DB"/>
    <w:rsid w:val="00B1160D"/>
    <w:rsid w:val="00B11D8A"/>
    <w:rsid w:val="00B12981"/>
    <w:rsid w:val="00B14725"/>
    <w:rsid w:val="00B147DD"/>
    <w:rsid w:val="00B156FD"/>
    <w:rsid w:val="00B15D5D"/>
    <w:rsid w:val="00B21F61"/>
    <w:rsid w:val="00B22EAE"/>
    <w:rsid w:val="00B23E29"/>
    <w:rsid w:val="00B23F1A"/>
    <w:rsid w:val="00B261F1"/>
    <w:rsid w:val="00B265BC"/>
    <w:rsid w:val="00B31FB1"/>
    <w:rsid w:val="00B33952"/>
    <w:rsid w:val="00B33C5E"/>
    <w:rsid w:val="00B342F4"/>
    <w:rsid w:val="00B34369"/>
    <w:rsid w:val="00B34DC2"/>
    <w:rsid w:val="00B378E5"/>
    <w:rsid w:val="00B4346D"/>
    <w:rsid w:val="00B440F4"/>
    <w:rsid w:val="00B446C2"/>
    <w:rsid w:val="00B447A5"/>
    <w:rsid w:val="00B45951"/>
    <w:rsid w:val="00B4654C"/>
    <w:rsid w:val="00B47293"/>
    <w:rsid w:val="00B47D3E"/>
    <w:rsid w:val="00B50E50"/>
    <w:rsid w:val="00B510D9"/>
    <w:rsid w:val="00B52120"/>
    <w:rsid w:val="00B52646"/>
    <w:rsid w:val="00B54ABC"/>
    <w:rsid w:val="00B552E4"/>
    <w:rsid w:val="00B55B01"/>
    <w:rsid w:val="00B56FBE"/>
    <w:rsid w:val="00B605DD"/>
    <w:rsid w:val="00B60ACF"/>
    <w:rsid w:val="00B61497"/>
    <w:rsid w:val="00B620A0"/>
    <w:rsid w:val="00B62B58"/>
    <w:rsid w:val="00B65149"/>
    <w:rsid w:val="00B66567"/>
    <w:rsid w:val="00B66F52"/>
    <w:rsid w:val="00B66FE5"/>
    <w:rsid w:val="00B703D0"/>
    <w:rsid w:val="00B72880"/>
    <w:rsid w:val="00B73057"/>
    <w:rsid w:val="00B758BF"/>
    <w:rsid w:val="00B77EC8"/>
    <w:rsid w:val="00B827A6"/>
    <w:rsid w:val="00B83083"/>
    <w:rsid w:val="00B831CE"/>
    <w:rsid w:val="00B86677"/>
    <w:rsid w:val="00B87131"/>
    <w:rsid w:val="00B939B1"/>
    <w:rsid w:val="00B93F29"/>
    <w:rsid w:val="00B947C8"/>
    <w:rsid w:val="00B96021"/>
    <w:rsid w:val="00B96D40"/>
    <w:rsid w:val="00B971A0"/>
    <w:rsid w:val="00B97386"/>
    <w:rsid w:val="00BA1469"/>
    <w:rsid w:val="00BA263B"/>
    <w:rsid w:val="00BA42B2"/>
    <w:rsid w:val="00BA4B0A"/>
    <w:rsid w:val="00BA58D4"/>
    <w:rsid w:val="00BA5B9E"/>
    <w:rsid w:val="00BA7C9A"/>
    <w:rsid w:val="00BB13B2"/>
    <w:rsid w:val="00BB5F8F"/>
    <w:rsid w:val="00BB657A"/>
    <w:rsid w:val="00BC1A4E"/>
    <w:rsid w:val="00BC307F"/>
    <w:rsid w:val="00BC3F27"/>
    <w:rsid w:val="00BC5DC7"/>
    <w:rsid w:val="00BC6B8B"/>
    <w:rsid w:val="00BC73D8"/>
    <w:rsid w:val="00BD52D7"/>
    <w:rsid w:val="00BD5AD2"/>
    <w:rsid w:val="00BE21D0"/>
    <w:rsid w:val="00BE22F3"/>
    <w:rsid w:val="00BE5B52"/>
    <w:rsid w:val="00BE7B8D"/>
    <w:rsid w:val="00BF0993"/>
    <w:rsid w:val="00BF10A9"/>
    <w:rsid w:val="00BF1703"/>
    <w:rsid w:val="00BF231C"/>
    <w:rsid w:val="00BF51E5"/>
    <w:rsid w:val="00BF74A6"/>
    <w:rsid w:val="00BF76A9"/>
    <w:rsid w:val="00C013AD"/>
    <w:rsid w:val="00C04904"/>
    <w:rsid w:val="00C056B3"/>
    <w:rsid w:val="00C103E5"/>
    <w:rsid w:val="00C110C6"/>
    <w:rsid w:val="00C13319"/>
    <w:rsid w:val="00C13EE9"/>
    <w:rsid w:val="00C21540"/>
    <w:rsid w:val="00C21906"/>
    <w:rsid w:val="00C21BFA"/>
    <w:rsid w:val="00C22DC9"/>
    <w:rsid w:val="00C24C8D"/>
    <w:rsid w:val="00C25FE2"/>
    <w:rsid w:val="00C262D6"/>
    <w:rsid w:val="00C26B53"/>
    <w:rsid w:val="00C276A2"/>
    <w:rsid w:val="00C279B2"/>
    <w:rsid w:val="00C33D27"/>
    <w:rsid w:val="00C33E50"/>
    <w:rsid w:val="00C34C20"/>
    <w:rsid w:val="00C34D00"/>
    <w:rsid w:val="00C35A3E"/>
    <w:rsid w:val="00C3674D"/>
    <w:rsid w:val="00C410D2"/>
    <w:rsid w:val="00C42130"/>
    <w:rsid w:val="00C423A4"/>
    <w:rsid w:val="00C423E3"/>
    <w:rsid w:val="00C44BF5"/>
    <w:rsid w:val="00C478DA"/>
    <w:rsid w:val="00C501DE"/>
    <w:rsid w:val="00C521D6"/>
    <w:rsid w:val="00C53486"/>
    <w:rsid w:val="00C55232"/>
    <w:rsid w:val="00C553A4"/>
    <w:rsid w:val="00C55A06"/>
    <w:rsid w:val="00C55D03"/>
    <w:rsid w:val="00C601BC"/>
    <w:rsid w:val="00C61158"/>
    <w:rsid w:val="00C627D2"/>
    <w:rsid w:val="00C6329F"/>
    <w:rsid w:val="00C63340"/>
    <w:rsid w:val="00C643F9"/>
    <w:rsid w:val="00C64E95"/>
    <w:rsid w:val="00C6535D"/>
    <w:rsid w:val="00C65923"/>
    <w:rsid w:val="00C66EBF"/>
    <w:rsid w:val="00C71372"/>
    <w:rsid w:val="00C71D03"/>
    <w:rsid w:val="00C72410"/>
    <w:rsid w:val="00C7287F"/>
    <w:rsid w:val="00C73848"/>
    <w:rsid w:val="00C75DBD"/>
    <w:rsid w:val="00C80CB8"/>
    <w:rsid w:val="00C819F8"/>
    <w:rsid w:val="00C81AB6"/>
    <w:rsid w:val="00C81CB9"/>
    <w:rsid w:val="00C8248C"/>
    <w:rsid w:val="00C84B79"/>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0F0"/>
    <w:rsid w:val="00CB517D"/>
    <w:rsid w:val="00CC038D"/>
    <w:rsid w:val="00CC08DB"/>
    <w:rsid w:val="00CC39FF"/>
    <w:rsid w:val="00CC3B60"/>
    <w:rsid w:val="00CC3C2F"/>
    <w:rsid w:val="00CC49F5"/>
    <w:rsid w:val="00CC4AC8"/>
    <w:rsid w:val="00CC4DC6"/>
    <w:rsid w:val="00CC5233"/>
    <w:rsid w:val="00CC5DE6"/>
    <w:rsid w:val="00CC6E4E"/>
    <w:rsid w:val="00CC6FE8"/>
    <w:rsid w:val="00CC7202"/>
    <w:rsid w:val="00CD104A"/>
    <w:rsid w:val="00CD2808"/>
    <w:rsid w:val="00CD28BF"/>
    <w:rsid w:val="00CD3322"/>
    <w:rsid w:val="00CD4092"/>
    <w:rsid w:val="00CD4A20"/>
    <w:rsid w:val="00CD50A1"/>
    <w:rsid w:val="00CD519E"/>
    <w:rsid w:val="00CE038C"/>
    <w:rsid w:val="00CE0C4F"/>
    <w:rsid w:val="00CE30EA"/>
    <w:rsid w:val="00CF048A"/>
    <w:rsid w:val="00CF0C9F"/>
    <w:rsid w:val="00CF0CE6"/>
    <w:rsid w:val="00CF155A"/>
    <w:rsid w:val="00CF2947"/>
    <w:rsid w:val="00CF686F"/>
    <w:rsid w:val="00CF6DE0"/>
    <w:rsid w:val="00CF6E60"/>
    <w:rsid w:val="00CF7806"/>
    <w:rsid w:val="00CF7BCA"/>
    <w:rsid w:val="00D008FD"/>
    <w:rsid w:val="00D0321C"/>
    <w:rsid w:val="00D035EC"/>
    <w:rsid w:val="00D0490D"/>
    <w:rsid w:val="00D05920"/>
    <w:rsid w:val="00D06AB1"/>
    <w:rsid w:val="00D06D7D"/>
    <w:rsid w:val="00D06FC1"/>
    <w:rsid w:val="00D072ED"/>
    <w:rsid w:val="00D07A16"/>
    <w:rsid w:val="00D1067E"/>
    <w:rsid w:val="00D10F50"/>
    <w:rsid w:val="00D11272"/>
    <w:rsid w:val="00D126F5"/>
    <w:rsid w:val="00D13625"/>
    <w:rsid w:val="00D1489E"/>
    <w:rsid w:val="00D206B2"/>
    <w:rsid w:val="00D20737"/>
    <w:rsid w:val="00D20912"/>
    <w:rsid w:val="00D21E81"/>
    <w:rsid w:val="00D223DE"/>
    <w:rsid w:val="00D25E37"/>
    <w:rsid w:val="00D2661A"/>
    <w:rsid w:val="00D27582"/>
    <w:rsid w:val="00D27EC4"/>
    <w:rsid w:val="00D32719"/>
    <w:rsid w:val="00D33333"/>
    <w:rsid w:val="00D33CD1"/>
    <w:rsid w:val="00D352A2"/>
    <w:rsid w:val="00D4162B"/>
    <w:rsid w:val="00D41FBE"/>
    <w:rsid w:val="00D42E0B"/>
    <w:rsid w:val="00D431CE"/>
    <w:rsid w:val="00D438A0"/>
    <w:rsid w:val="00D43C99"/>
    <w:rsid w:val="00D4419A"/>
    <w:rsid w:val="00D4514F"/>
    <w:rsid w:val="00D451E2"/>
    <w:rsid w:val="00D45759"/>
    <w:rsid w:val="00D45E89"/>
    <w:rsid w:val="00D45E8D"/>
    <w:rsid w:val="00D466AE"/>
    <w:rsid w:val="00D466E9"/>
    <w:rsid w:val="00D4734F"/>
    <w:rsid w:val="00D51489"/>
    <w:rsid w:val="00D51BF3"/>
    <w:rsid w:val="00D5424F"/>
    <w:rsid w:val="00D60905"/>
    <w:rsid w:val="00D62A90"/>
    <w:rsid w:val="00D65903"/>
    <w:rsid w:val="00D66846"/>
    <w:rsid w:val="00D675FB"/>
    <w:rsid w:val="00D67F46"/>
    <w:rsid w:val="00D71F25"/>
    <w:rsid w:val="00D72262"/>
    <w:rsid w:val="00D72A9C"/>
    <w:rsid w:val="00D73813"/>
    <w:rsid w:val="00D73E5D"/>
    <w:rsid w:val="00D77031"/>
    <w:rsid w:val="00D84941"/>
    <w:rsid w:val="00D84FA1"/>
    <w:rsid w:val="00D851F0"/>
    <w:rsid w:val="00D86DB7"/>
    <w:rsid w:val="00D90721"/>
    <w:rsid w:val="00D90DA0"/>
    <w:rsid w:val="00D926D0"/>
    <w:rsid w:val="00D93030"/>
    <w:rsid w:val="00D936BF"/>
    <w:rsid w:val="00D950E1"/>
    <w:rsid w:val="00D952A6"/>
    <w:rsid w:val="00D9552E"/>
    <w:rsid w:val="00D97F99"/>
    <w:rsid w:val="00DA02F7"/>
    <w:rsid w:val="00DA1E08"/>
    <w:rsid w:val="00DA24F8"/>
    <w:rsid w:val="00DA28E8"/>
    <w:rsid w:val="00DA3527"/>
    <w:rsid w:val="00DA38D3"/>
    <w:rsid w:val="00DA3932"/>
    <w:rsid w:val="00DA3AFC"/>
    <w:rsid w:val="00DA5DDC"/>
    <w:rsid w:val="00DA64F8"/>
    <w:rsid w:val="00DA6C15"/>
    <w:rsid w:val="00DB0258"/>
    <w:rsid w:val="00DB0CAD"/>
    <w:rsid w:val="00DB2D7C"/>
    <w:rsid w:val="00DB2FE5"/>
    <w:rsid w:val="00DB38EE"/>
    <w:rsid w:val="00DB498B"/>
    <w:rsid w:val="00DB66CA"/>
    <w:rsid w:val="00DB6BCA"/>
    <w:rsid w:val="00DB6F54"/>
    <w:rsid w:val="00DB73F7"/>
    <w:rsid w:val="00DB7EEE"/>
    <w:rsid w:val="00DC0321"/>
    <w:rsid w:val="00DC0869"/>
    <w:rsid w:val="00DC3067"/>
    <w:rsid w:val="00DC370B"/>
    <w:rsid w:val="00DC3AFB"/>
    <w:rsid w:val="00DC5B90"/>
    <w:rsid w:val="00DC6018"/>
    <w:rsid w:val="00DD00FF"/>
    <w:rsid w:val="00DD0619"/>
    <w:rsid w:val="00DD07FB"/>
    <w:rsid w:val="00DD157E"/>
    <w:rsid w:val="00DD25C6"/>
    <w:rsid w:val="00DD4FE5"/>
    <w:rsid w:val="00DD54B0"/>
    <w:rsid w:val="00DD57EE"/>
    <w:rsid w:val="00DD6BCC"/>
    <w:rsid w:val="00DE0A4B"/>
    <w:rsid w:val="00DE11EB"/>
    <w:rsid w:val="00DE2410"/>
    <w:rsid w:val="00DE2939"/>
    <w:rsid w:val="00DE49F4"/>
    <w:rsid w:val="00DE534D"/>
    <w:rsid w:val="00DE64A1"/>
    <w:rsid w:val="00DE65C8"/>
    <w:rsid w:val="00DE6E81"/>
    <w:rsid w:val="00DE703F"/>
    <w:rsid w:val="00DE7595"/>
    <w:rsid w:val="00DF0974"/>
    <w:rsid w:val="00DF0AA8"/>
    <w:rsid w:val="00DF1961"/>
    <w:rsid w:val="00DF2B97"/>
    <w:rsid w:val="00DF44DE"/>
    <w:rsid w:val="00E00B01"/>
    <w:rsid w:val="00E01138"/>
    <w:rsid w:val="00E02C19"/>
    <w:rsid w:val="00E02DFB"/>
    <w:rsid w:val="00E030F9"/>
    <w:rsid w:val="00E0311A"/>
    <w:rsid w:val="00E03138"/>
    <w:rsid w:val="00E06404"/>
    <w:rsid w:val="00E11A85"/>
    <w:rsid w:val="00E12495"/>
    <w:rsid w:val="00E15CCD"/>
    <w:rsid w:val="00E17AEE"/>
    <w:rsid w:val="00E17C1C"/>
    <w:rsid w:val="00E202EF"/>
    <w:rsid w:val="00E20E08"/>
    <w:rsid w:val="00E210B5"/>
    <w:rsid w:val="00E2319B"/>
    <w:rsid w:val="00E2552F"/>
    <w:rsid w:val="00E27ACD"/>
    <w:rsid w:val="00E30CA0"/>
    <w:rsid w:val="00E3137A"/>
    <w:rsid w:val="00E32CCF"/>
    <w:rsid w:val="00E34A98"/>
    <w:rsid w:val="00E35D1E"/>
    <w:rsid w:val="00E364F9"/>
    <w:rsid w:val="00E365FA"/>
    <w:rsid w:val="00E36789"/>
    <w:rsid w:val="00E40CAA"/>
    <w:rsid w:val="00E412B1"/>
    <w:rsid w:val="00E424D7"/>
    <w:rsid w:val="00E4322E"/>
    <w:rsid w:val="00E43D9B"/>
    <w:rsid w:val="00E44A83"/>
    <w:rsid w:val="00E502C1"/>
    <w:rsid w:val="00E502DD"/>
    <w:rsid w:val="00E5055F"/>
    <w:rsid w:val="00E50D3A"/>
    <w:rsid w:val="00E51387"/>
    <w:rsid w:val="00E51E68"/>
    <w:rsid w:val="00E52EFD"/>
    <w:rsid w:val="00E5408A"/>
    <w:rsid w:val="00E54AF1"/>
    <w:rsid w:val="00E54C5E"/>
    <w:rsid w:val="00E56800"/>
    <w:rsid w:val="00E56DBE"/>
    <w:rsid w:val="00E577CA"/>
    <w:rsid w:val="00E60C63"/>
    <w:rsid w:val="00E62AA6"/>
    <w:rsid w:val="00E62FF9"/>
    <w:rsid w:val="00E635D6"/>
    <w:rsid w:val="00E639BC"/>
    <w:rsid w:val="00E64EFA"/>
    <w:rsid w:val="00E664CC"/>
    <w:rsid w:val="00E70388"/>
    <w:rsid w:val="00E70F92"/>
    <w:rsid w:val="00E74313"/>
    <w:rsid w:val="00E74C54"/>
    <w:rsid w:val="00E77A03"/>
    <w:rsid w:val="00E77D60"/>
    <w:rsid w:val="00E80431"/>
    <w:rsid w:val="00E822E8"/>
    <w:rsid w:val="00E82554"/>
    <w:rsid w:val="00E82606"/>
    <w:rsid w:val="00E82940"/>
    <w:rsid w:val="00E831C1"/>
    <w:rsid w:val="00E8374F"/>
    <w:rsid w:val="00E8405A"/>
    <w:rsid w:val="00E846C8"/>
    <w:rsid w:val="00E84957"/>
    <w:rsid w:val="00E84A55"/>
    <w:rsid w:val="00E84ED3"/>
    <w:rsid w:val="00E859D6"/>
    <w:rsid w:val="00E85BFF"/>
    <w:rsid w:val="00E90391"/>
    <w:rsid w:val="00E906C2"/>
    <w:rsid w:val="00E9311F"/>
    <w:rsid w:val="00E934D1"/>
    <w:rsid w:val="00E94AF0"/>
    <w:rsid w:val="00E95D13"/>
    <w:rsid w:val="00E95DD3"/>
    <w:rsid w:val="00E969D5"/>
    <w:rsid w:val="00EA3ACD"/>
    <w:rsid w:val="00EA58D1"/>
    <w:rsid w:val="00EA61BC"/>
    <w:rsid w:val="00EA681A"/>
    <w:rsid w:val="00EA735B"/>
    <w:rsid w:val="00EB04DD"/>
    <w:rsid w:val="00EB1E69"/>
    <w:rsid w:val="00EB2086"/>
    <w:rsid w:val="00EB31ED"/>
    <w:rsid w:val="00EB38B7"/>
    <w:rsid w:val="00EB479C"/>
    <w:rsid w:val="00EB5EDF"/>
    <w:rsid w:val="00EB60FE"/>
    <w:rsid w:val="00EB74DB"/>
    <w:rsid w:val="00EC4FE1"/>
    <w:rsid w:val="00EC5359"/>
    <w:rsid w:val="00EC562A"/>
    <w:rsid w:val="00ED067A"/>
    <w:rsid w:val="00ED2B50"/>
    <w:rsid w:val="00EE0350"/>
    <w:rsid w:val="00EE0719"/>
    <w:rsid w:val="00EE0E80"/>
    <w:rsid w:val="00EE24A3"/>
    <w:rsid w:val="00EE25D8"/>
    <w:rsid w:val="00EE60EE"/>
    <w:rsid w:val="00EE613F"/>
    <w:rsid w:val="00EE7295"/>
    <w:rsid w:val="00EE7869"/>
    <w:rsid w:val="00EE7C77"/>
    <w:rsid w:val="00EF054A"/>
    <w:rsid w:val="00EF3235"/>
    <w:rsid w:val="00EF7E72"/>
    <w:rsid w:val="00F04235"/>
    <w:rsid w:val="00F06258"/>
    <w:rsid w:val="00F06900"/>
    <w:rsid w:val="00F06D37"/>
    <w:rsid w:val="00F07B9D"/>
    <w:rsid w:val="00F07C13"/>
    <w:rsid w:val="00F11586"/>
    <w:rsid w:val="00F1183B"/>
    <w:rsid w:val="00F11C9F"/>
    <w:rsid w:val="00F12263"/>
    <w:rsid w:val="00F1279C"/>
    <w:rsid w:val="00F12ACA"/>
    <w:rsid w:val="00F1409D"/>
    <w:rsid w:val="00F14214"/>
    <w:rsid w:val="00F157A9"/>
    <w:rsid w:val="00F16C62"/>
    <w:rsid w:val="00F16F00"/>
    <w:rsid w:val="00F17F48"/>
    <w:rsid w:val="00F226BD"/>
    <w:rsid w:val="00F25057"/>
    <w:rsid w:val="00F25BB6"/>
    <w:rsid w:val="00F26B7E"/>
    <w:rsid w:val="00F27A3B"/>
    <w:rsid w:val="00F33817"/>
    <w:rsid w:val="00F420D5"/>
    <w:rsid w:val="00F451EA"/>
    <w:rsid w:val="00F45447"/>
    <w:rsid w:val="00F456C6"/>
    <w:rsid w:val="00F4577B"/>
    <w:rsid w:val="00F46496"/>
    <w:rsid w:val="00F474D0"/>
    <w:rsid w:val="00F47A89"/>
    <w:rsid w:val="00F50179"/>
    <w:rsid w:val="00F511FA"/>
    <w:rsid w:val="00F515BE"/>
    <w:rsid w:val="00F515EE"/>
    <w:rsid w:val="00F56511"/>
    <w:rsid w:val="00F56577"/>
    <w:rsid w:val="00F5684F"/>
    <w:rsid w:val="00F61632"/>
    <w:rsid w:val="00F6194E"/>
    <w:rsid w:val="00F623AC"/>
    <w:rsid w:val="00F634F1"/>
    <w:rsid w:val="00F6412A"/>
    <w:rsid w:val="00F65893"/>
    <w:rsid w:val="00F66A4A"/>
    <w:rsid w:val="00F71E22"/>
    <w:rsid w:val="00F72142"/>
    <w:rsid w:val="00F72AE7"/>
    <w:rsid w:val="00F81336"/>
    <w:rsid w:val="00F833BA"/>
    <w:rsid w:val="00F84FD0"/>
    <w:rsid w:val="00F84FF2"/>
    <w:rsid w:val="00F85321"/>
    <w:rsid w:val="00F859A8"/>
    <w:rsid w:val="00F86A3C"/>
    <w:rsid w:val="00F86D87"/>
    <w:rsid w:val="00F90767"/>
    <w:rsid w:val="00F9108B"/>
    <w:rsid w:val="00F91349"/>
    <w:rsid w:val="00F92385"/>
    <w:rsid w:val="00F92901"/>
    <w:rsid w:val="00F93A8A"/>
    <w:rsid w:val="00F9518F"/>
    <w:rsid w:val="00F95248"/>
    <w:rsid w:val="00F956A9"/>
    <w:rsid w:val="00F963ED"/>
    <w:rsid w:val="00F966CF"/>
    <w:rsid w:val="00F96CAE"/>
    <w:rsid w:val="00F9719A"/>
    <w:rsid w:val="00F97C99"/>
    <w:rsid w:val="00FA2728"/>
    <w:rsid w:val="00FA2C2C"/>
    <w:rsid w:val="00FA55C3"/>
    <w:rsid w:val="00FA6301"/>
    <w:rsid w:val="00FA662D"/>
    <w:rsid w:val="00FA73B1"/>
    <w:rsid w:val="00FB0CB9"/>
    <w:rsid w:val="00FB231D"/>
    <w:rsid w:val="00FB45F1"/>
    <w:rsid w:val="00FB4A72"/>
    <w:rsid w:val="00FB54E8"/>
    <w:rsid w:val="00FB7054"/>
    <w:rsid w:val="00FC17B7"/>
    <w:rsid w:val="00FC2CB7"/>
    <w:rsid w:val="00FC3D64"/>
    <w:rsid w:val="00FC4090"/>
    <w:rsid w:val="00FC55B4"/>
    <w:rsid w:val="00FD00E6"/>
    <w:rsid w:val="00FD09A1"/>
    <w:rsid w:val="00FD2A7C"/>
    <w:rsid w:val="00FD59EB"/>
    <w:rsid w:val="00FD5E72"/>
    <w:rsid w:val="00FD7299"/>
    <w:rsid w:val="00FE03B9"/>
    <w:rsid w:val="00FE1FBE"/>
    <w:rsid w:val="00FE3901"/>
    <w:rsid w:val="00FE39D3"/>
    <w:rsid w:val="00FE4BCE"/>
    <w:rsid w:val="00FE54AE"/>
    <w:rsid w:val="00FE576A"/>
    <w:rsid w:val="00FE715C"/>
    <w:rsid w:val="00FE7E79"/>
    <w:rsid w:val="00FF13CD"/>
    <w:rsid w:val="00FF31FD"/>
    <w:rsid w:val="00FF3E7D"/>
    <w:rsid w:val="00FF5B99"/>
    <w:rsid w:val="00FF730C"/>
    <w:rsid w:val="00FF73F4"/>
    <w:rsid w:val="00FF7CE4"/>
    <w:rsid w:val="00FF7E39"/>
    <w:rsid w:val="44450F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5"/>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6"/>
    <w:qFormat/>
    <w:uiPriority w:val="9"/>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7"/>
    <w:qFormat/>
    <w:uiPriority w:val="9"/>
    <w:pPr>
      <w:keepNext/>
      <w:keepLines/>
      <w:spacing w:before="260" w:after="260" w:line="416" w:lineRule="auto"/>
      <w:outlineLvl w:val="2"/>
    </w:pPr>
    <w:rPr>
      <w:b/>
      <w:bCs/>
      <w:sz w:val="32"/>
      <w:szCs w:val="32"/>
    </w:rPr>
  </w:style>
  <w:style w:type="paragraph" w:styleId="5">
    <w:name w:val="heading 4"/>
    <w:basedOn w:val="1"/>
    <w:next w:val="1"/>
    <w:link w:val="38"/>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9"/>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40"/>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1"/>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2"/>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3"/>
    <w:qFormat/>
    <w:uiPriority w:val="0"/>
    <w:pPr>
      <w:keepNext/>
      <w:keepLines/>
      <w:adjustRightInd/>
      <w:spacing w:before="240" w:after="64" w:line="320" w:lineRule="auto"/>
      <w:outlineLvl w:val="8"/>
    </w:pPr>
    <w:rPr>
      <w:rFonts w:ascii="Arial" w:hAnsi="Arial" w:eastAsia="黑体"/>
    </w:rPr>
  </w:style>
  <w:style w:type="character" w:default="1" w:styleId="29">
    <w:name w:val="Default Paragraph Font"/>
    <w:semiHidden/>
    <w:unhideWhenUsed/>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Document Map"/>
    <w:basedOn w:val="1"/>
    <w:link w:val="231"/>
    <w:semiHidden/>
    <w:unhideWhenUsed/>
    <w:qFormat/>
    <w:uiPriority w:val="99"/>
    <w:rPr>
      <w:rFonts w:ascii="宋体"/>
      <w:sz w:val="18"/>
      <w:szCs w:val="18"/>
    </w:rPr>
  </w:style>
  <w:style w:type="paragraph" w:styleId="14">
    <w:name w:val="Body Text"/>
    <w:basedOn w:val="1"/>
    <w:link w:val="87"/>
    <w:qFormat/>
    <w:uiPriority w:val="0"/>
    <w:pPr>
      <w:spacing w:after="120"/>
    </w:pPr>
  </w:style>
  <w:style w:type="paragraph" w:styleId="15">
    <w:name w:val="toc 5"/>
    <w:basedOn w:val="1"/>
    <w:next w:val="1"/>
    <w:unhideWhenUsed/>
    <w:qFormat/>
    <w:uiPriority w:val="39"/>
    <w:pPr>
      <w:ind w:left="839"/>
    </w:pPr>
    <w:rPr>
      <w:rFonts w:ascii="宋体"/>
    </w:rPr>
  </w:style>
  <w:style w:type="paragraph" w:styleId="16">
    <w:name w:val="toc 3"/>
    <w:basedOn w:val="1"/>
    <w:next w:val="1"/>
    <w:unhideWhenUsed/>
    <w:qFormat/>
    <w:uiPriority w:val="39"/>
    <w:pPr>
      <w:spacing w:line="300" w:lineRule="exact"/>
      <w:ind w:left="420"/>
    </w:pPr>
    <w:rPr>
      <w:rFonts w:ascii="宋体"/>
    </w:rPr>
  </w:style>
  <w:style w:type="paragraph" w:styleId="17">
    <w:name w:val="Balloon Text"/>
    <w:basedOn w:val="1"/>
    <w:link w:val="46"/>
    <w:semiHidden/>
    <w:unhideWhenUsed/>
    <w:qFormat/>
    <w:uiPriority w:val="99"/>
    <w:rPr>
      <w:sz w:val="18"/>
      <w:szCs w:val="18"/>
    </w:rPr>
  </w:style>
  <w:style w:type="paragraph" w:styleId="18">
    <w:name w:val="footer"/>
    <w:basedOn w:val="1"/>
    <w:link w:val="45"/>
    <w:qFormat/>
    <w:uiPriority w:val="99"/>
    <w:pPr>
      <w:tabs>
        <w:tab w:val="center" w:pos="4153"/>
        <w:tab w:val="right" w:pos="8306"/>
      </w:tabs>
      <w:adjustRightInd/>
      <w:snapToGrid w:val="0"/>
      <w:spacing w:line="240" w:lineRule="auto"/>
      <w:jc w:val="right"/>
    </w:pPr>
    <w:rPr>
      <w:rFonts w:ascii="宋体"/>
      <w:sz w:val="18"/>
      <w:szCs w:val="18"/>
    </w:rPr>
  </w:style>
  <w:style w:type="paragraph" w:styleId="19">
    <w:name w:val="header"/>
    <w:basedOn w:val="1"/>
    <w:link w:val="44"/>
    <w:qFormat/>
    <w:uiPriority w:val="99"/>
    <w:pPr>
      <w:tabs>
        <w:tab w:val="center" w:pos="4153"/>
        <w:tab w:val="right" w:pos="8306"/>
      </w:tabs>
      <w:adjustRightInd/>
      <w:snapToGrid w:val="0"/>
      <w:jc w:val="center"/>
    </w:pPr>
    <w:rPr>
      <w:sz w:val="18"/>
      <w:szCs w:val="18"/>
    </w:rPr>
  </w:style>
  <w:style w:type="paragraph" w:styleId="20">
    <w:name w:val="toc 1"/>
    <w:basedOn w:val="1"/>
    <w:next w:val="1"/>
    <w:unhideWhenUsed/>
    <w:qFormat/>
    <w:uiPriority w:val="39"/>
    <w:rPr>
      <w:rFonts w:ascii="宋体"/>
    </w:rPr>
  </w:style>
  <w:style w:type="paragraph" w:styleId="21">
    <w:name w:val="toc 4"/>
    <w:basedOn w:val="1"/>
    <w:next w:val="1"/>
    <w:unhideWhenUsed/>
    <w:qFormat/>
    <w:uiPriority w:val="39"/>
    <w:pPr>
      <w:tabs>
        <w:tab w:val="right" w:leader="dot" w:pos="9344"/>
      </w:tabs>
      <w:spacing w:line="300" w:lineRule="exact"/>
      <w:ind w:left="629"/>
    </w:pPr>
    <w:rPr>
      <w:rFonts w:ascii="宋体"/>
    </w:rPr>
  </w:style>
  <w:style w:type="paragraph" w:styleId="22">
    <w:name w:val="footnote text"/>
    <w:basedOn w:val="1"/>
    <w:next w:val="1"/>
    <w:link w:val="100"/>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3">
    <w:name w:val="toc 6"/>
    <w:basedOn w:val="1"/>
    <w:next w:val="1"/>
    <w:unhideWhenUsed/>
    <w:qFormat/>
    <w:uiPriority w:val="39"/>
    <w:pPr>
      <w:spacing w:line="300" w:lineRule="exact"/>
      <w:ind w:left="1049"/>
    </w:pPr>
    <w:rPr>
      <w:rFonts w:ascii="宋体"/>
    </w:rPr>
  </w:style>
  <w:style w:type="paragraph" w:styleId="24">
    <w:name w:val="table of figures"/>
    <w:basedOn w:val="1"/>
    <w:next w:val="1"/>
    <w:semiHidden/>
    <w:qFormat/>
    <w:uiPriority w:val="0"/>
    <w:pPr>
      <w:adjustRightInd/>
      <w:spacing w:line="240" w:lineRule="auto"/>
      <w:jc w:val="left"/>
    </w:pPr>
    <w:rPr>
      <w:szCs w:val="24"/>
    </w:rPr>
  </w:style>
  <w:style w:type="paragraph" w:styleId="25">
    <w:name w:val="toc 2"/>
    <w:basedOn w:val="1"/>
    <w:next w:val="1"/>
    <w:unhideWhenUsed/>
    <w:qFormat/>
    <w:uiPriority w:val="39"/>
    <w:pPr>
      <w:tabs>
        <w:tab w:val="right" w:leader="dot" w:pos="9344"/>
      </w:tabs>
      <w:spacing w:line="300" w:lineRule="exact"/>
      <w:ind w:left="210"/>
    </w:pPr>
    <w:rPr>
      <w:rFonts w:ascii="宋体"/>
    </w:rPr>
  </w:style>
  <w:style w:type="paragraph" w:styleId="26">
    <w:name w:val="Title"/>
    <w:basedOn w:val="1"/>
    <w:link w:val="49"/>
    <w:qFormat/>
    <w:uiPriority w:val="0"/>
    <w:pPr>
      <w:spacing w:before="240" w:after="60"/>
      <w:jc w:val="center"/>
      <w:outlineLvl w:val="0"/>
    </w:pPr>
    <w:rPr>
      <w:rFonts w:ascii="Arial" w:hAnsi="Arial" w:cs="Arial"/>
      <w:b/>
      <w:bCs/>
      <w:sz w:val="32"/>
      <w:szCs w:val="32"/>
    </w:rPr>
  </w:style>
  <w:style w:type="table" w:styleId="28">
    <w:name w:val="Table Grid"/>
    <w:basedOn w:val="2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Strong"/>
    <w:qFormat/>
    <w:uiPriority w:val="22"/>
    <w:rPr>
      <w:b/>
      <w:bCs/>
    </w:rPr>
  </w:style>
  <w:style w:type="character" w:styleId="31">
    <w:name w:val="page number"/>
    <w:qFormat/>
    <w:uiPriority w:val="0"/>
    <w:rPr>
      <w:rFonts w:ascii="宋体" w:hAnsi="Times New Roman" w:eastAsia="宋体"/>
      <w:sz w:val="18"/>
    </w:rPr>
  </w:style>
  <w:style w:type="character" w:styleId="32">
    <w:name w:val="Emphasis"/>
    <w:qFormat/>
    <w:uiPriority w:val="20"/>
    <w:rPr>
      <w:i/>
      <w:iCs/>
    </w:rPr>
  </w:style>
  <w:style w:type="character" w:styleId="33">
    <w:name w:val="Hyperlink"/>
    <w:qFormat/>
    <w:uiPriority w:val="99"/>
    <w:rPr>
      <w:rFonts w:ascii="宋体" w:hAnsi="Times New Roman" w:eastAsia="宋体"/>
      <w:color w:val="auto"/>
      <w:spacing w:val="0"/>
      <w:w w:val="100"/>
      <w:position w:val="0"/>
      <w:sz w:val="21"/>
      <w:u w:val="none"/>
      <w:vertAlign w:val="baseline"/>
    </w:rPr>
  </w:style>
  <w:style w:type="character" w:styleId="34">
    <w:name w:val="footnote reference"/>
    <w:semiHidden/>
    <w:qFormat/>
    <w:uiPriority w:val="0"/>
    <w:rPr>
      <w:rFonts w:ascii="宋体" w:hAnsi="宋体" w:eastAsia="宋体" w:cs="Times New Roman"/>
      <w:spacing w:val="0"/>
      <w:sz w:val="18"/>
      <w:vertAlign w:val="superscript"/>
    </w:rPr>
  </w:style>
  <w:style w:type="character" w:customStyle="1" w:styleId="35">
    <w:name w:val="标题 1 字符"/>
    <w:link w:val="2"/>
    <w:qFormat/>
    <w:uiPriority w:val="0"/>
    <w:rPr>
      <w:rFonts w:ascii="Times New Roman" w:hAnsi="Times New Roman" w:eastAsia="宋体" w:cs="Times New Roman"/>
      <w:b/>
      <w:bCs/>
      <w:kern w:val="44"/>
      <w:sz w:val="44"/>
      <w:szCs w:val="44"/>
    </w:rPr>
  </w:style>
  <w:style w:type="character" w:customStyle="1" w:styleId="36">
    <w:name w:val="标题 2 字符"/>
    <w:link w:val="3"/>
    <w:qFormat/>
    <w:uiPriority w:val="0"/>
    <w:rPr>
      <w:rFonts w:ascii="Arial" w:hAnsi="Arial" w:eastAsia="黑体" w:cs="Times New Roman"/>
      <w:b/>
      <w:bCs/>
      <w:sz w:val="32"/>
      <w:szCs w:val="32"/>
    </w:rPr>
  </w:style>
  <w:style w:type="character" w:customStyle="1" w:styleId="37">
    <w:name w:val="标题 3 字符"/>
    <w:link w:val="4"/>
    <w:qFormat/>
    <w:uiPriority w:val="9"/>
    <w:rPr>
      <w:rFonts w:ascii="Times New Roman" w:hAnsi="Times New Roman" w:eastAsia="宋体" w:cs="Times New Roman"/>
      <w:b/>
      <w:bCs/>
      <w:sz w:val="32"/>
      <w:szCs w:val="32"/>
    </w:rPr>
  </w:style>
  <w:style w:type="character" w:customStyle="1" w:styleId="38">
    <w:name w:val="标题 4 字符"/>
    <w:link w:val="5"/>
    <w:qFormat/>
    <w:uiPriority w:val="0"/>
    <w:rPr>
      <w:rFonts w:ascii="Arial" w:hAnsi="Arial" w:eastAsia="黑体" w:cs="Times New Roman"/>
      <w:b/>
      <w:bCs/>
      <w:sz w:val="28"/>
      <w:szCs w:val="28"/>
    </w:rPr>
  </w:style>
  <w:style w:type="character" w:customStyle="1" w:styleId="39">
    <w:name w:val="标题 5 字符"/>
    <w:link w:val="6"/>
    <w:qFormat/>
    <w:uiPriority w:val="0"/>
    <w:rPr>
      <w:rFonts w:ascii="Times New Roman" w:hAnsi="Times New Roman" w:eastAsia="宋体" w:cs="Times New Roman"/>
      <w:b/>
      <w:bCs/>
      <w:sz w:val="28"/>
      <w:szCs w:val="28"/>
    </w:rPr>
  </w:style>
  <w:style w:type="character" w:customStyle="1" w:styleId="40">
    <w:name w:val="标题 6 字符"/>
    <w:link w:val="7"/>
    <w:qFormat/>
    <w:uiPriority w:val="0"/>
    <w:rPr>
      <w:rFonts w:ascii="Arial" w:hAnsi="Arial" w:eastAsia="黑体" w:cs="Times New Roman"/>
      <w:b/>
      <w:bCs/>
      <w:sz w:val="24"/>
      <w:szCs w:val="24"/>
    </w:rPr>
  </w:style>
  <w:style w:type="character" w:customStyle="1" w:styleId="41">
    <w:name w:val="标题 7 字符"/>
    <w:link w:val="8"/>
    <w:qFormat/>
    <w:uiPriority w:val="0"/>
    <w:rPr>
      <w:rFonts w:ascii="Times New Roman" w:hAnsi="Times New Roman" w:eastAsia="宋体" w:cs="Times New Roman"/>
      <w:b/>
      <w:bCs/>
      <w:sz w:val="24"/>
      <w:szCs w:val="24"/>
    </w:rPr>
  </w:style>
  <w:style w:type="character" w:customStyle="1" w:styleId="42">
    <w:name w:val="标题 8 字符"/>
    <w:link w:val="9"/>
    <w:qFormat/>
    <w:uiPriority w:val="0"/>
    <w:rPr>
      <w:rFonts w:ascii="Arial" w:hAnsi="Arial" w:eastAsia="黑体" w:cs="Times New Roman"/>
      <w:sz w:val="24"/>
      <w:szCs w:val="24"/>
    </w:rPr>
  </w:style>
  <w:style w:type="character" w:customStyle="1" w:styleId="43">
    <w:name w:val="标题 9 字符"/>
    <w:link w:val="10"/>
    <w:qFormat/>
    <w:uiPriority w:val="0"/>
    <w:rPr>
      <w:rFonts w:ascii="Arial" w:hAnsi="Arial" w:eastAsia="黑体" w:cs="Times New Roman"/>
      <w:szCs w:val="21"/>
    </w:rPr>
  </w:style>
  <w:style w:type="character" w:customStyle="1" w:styleId="44">
    <w:name w:val="页眉 字符"/>
    <w:link w:val="19"/>
    <w:qFormat/>
    <w:uiPriority w:val="99"/>
    <w:rPr>
      <w:rFonts w:ascii="Times New Roman" w:hAnsi="Times New Roman" w:eastAsia="宋体" w:cs="Times New Roman"/>
      <w:sz w:val="18"/>
      <w:szCs w:val="18"/>
    </w:rPr>
  </w:style>
  <w:style w:type="character" w:customStyle="1" w:styleId="45">
    <w:name w:val="页脚 字符"/>
    <w:link w:val="18"/>
    <w:qFormat/>
    <w:uiPriority w:val="99"/>
    <w:rPr>
      <w:rFonts w:ascii="宋体" w:hAnsi="Times New Roman" w:eastAsia="宋体" w:cs="Times New Roman"/>
      <w:sz w:val="18"/>
      <w:szCs w:val="18"/>
    </w:rPr>
  </w:style>
  <w:style w:type="character" w:customStyle="1" w:styleId="46">
    <w:name w:val="批注框文本 字符"/>
    <w:link w:val="17"/>
    <w:semiHidden/>
    <w:uiPriority w:val="99"/>
    <w:rPr>
      <w:sz w:val="18"/>
      <w:szCs w:val="18"/>
    </w:rPr>
  </w:style>
  <w:style w:type="paragraph" w:styleId="47">
    <w:name w:val="Quote"/>
    <w:basedOn w:val="1"/>
    <w:next w:val="1"/>
    <w:link w:val="48"/>
    <w:qFormat/>
    <w:uiPriority w:val="29"/>
    <w:rPr>
      <w:i/>
      <w:iCs/>
      <w:color w:val="000000"/>
    </w:rPr>
  </w:style>
  <w:style w:type="character" w:customStyle="1" w:styleId="48">
    <w:name w:val="引用 字符"/>
    <w:link w:val="47"/>
    <w:qFormat/>
    <w:uiPriority w:val="29"/>
    <w:rPr>
      <w:i/>
      <w:iCs/>
      <w:color w:val="000000"/>
    </w:rPr>
  </w:style>
  <w:style w:type="character" w:customStyle="1" w:styleId="49">
    <w:name w:val="标题 字符"/>
    <w:link w:val="26"/>
    <w:qFormat/>
    <w:uiPriority w:val="0"/>
    <w:rPr>
      <w:rFonts w:ascii="Arial" w:hAnsi="Arial" w:eastAsia="宋体" w:cs="Arial"/>
      <w:b/>
      <w:bCs/>
      <w:sz w:val="32"/>
      <w:szCs w:val="32"/>
    </w:rPr>
  </w:style>
  <w:style w:type="paragraph" w:customStyle="1" w:styleId="50">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1">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2">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3">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4">
    <w:name w:val="标准书眉一"/>
    <w:qFormat/>
    <w:uiPriority w:val="0"/>
    <w:pPr>
      <w:jc w:val="both"/>
    </w:pPr>
    <w:rPr>
      <w:rFonts w:ascii="Times New Roman" w:hAnsi="Times New Roman" w:eastAsia="宋体" w:cs="Times New Roman"/>
      <w:lang w:val="en-US" w:eastAsia="zh-CN" w:bidi="ar-SA"/>
    </w:rPr>
  </w:style>
  <w:style w:type="paragraph" w:customStyle="1" w:styleId="55">
    <w:name w:val="标准文件_ICS"/>
    <w:basedOn w:val="1"/>
    <w:qFormat/>
    <w:uiPriority w:val="0"/>
    <w:pPr>
      <w:spacing w:line="0" w:lineRule="atLeast"/>
    </w:pPr>
    <w:rPr>
      <w:rFonts w:ascii="黑体" w:hAnsi="宋体" w:eastAsia="黑体"/>
    </w:rPr>
  </w:style>
  <w:style w:type="paragraph" w:customStyle="1" w:styleId="56">
    <w:name w:val="标准文件_标准正文"/>
    <w:basedOn w:val="1"/>
    <w:next w:val="57"/>
    <w:qFormat/>
    <w:uiPriority w:val="0"/>
    <w:pPr>
      <w:snapToGrid w:val="0"/>
      <w:ind w:firstLine="200" w:firstLineChars="200"/>
    </w:pPr>
    <w:rPr>
      <w:kern w:val="0"/>
    </w:rPr>
  </w:style>
  <w:style w:type="paragraph" w:customStyle="1" w:styleId="57">
    <w:name w:val="标准文件_段"/>
    <w:link w:val="185"/>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8">
    <w:name w:val="标准文件_版本"/>
    <w:basedOn w:val="56"/>
    <w:qFormat/>
    <w:uiPriority w:val="0"/>
    <w:pPr>
      <w:adjustRightInd/>
      <w:snapToGrid/>
      <w:ind w:firstLine="0" w:firstLineChars="0"/>
    </w:pPr>
    <w:rPr>
      <w:rFonts w:ascii="宋体" w:hAnsi="宋体"/>
      <w:kern w:val="2"/>
    </w:rPr>
  </w:style>
  <w:style w:type="paragraph" w:customStyle="1" w:styleId="59">
    <w:name w:val="标准文件_标准部门"/>
    <w:basedOn w:val="1"/>
    <w:qFormat/>
    <w:uiPriority w:val="0"/>
    <w:pPr>
      <w:jc w:val="center"/>
    </w:pPr>
    <w:rPr>
      <w:rFonts w:ascii="黑体" w:eastAsia="黑体"/>
      <w:kern w:val="0"/>
      <w:sz w:val="44"/>
    </w:rPr>
  </w:style>
  <w:style w:type="paragraph" w:customStyle="1" w:styleId="60">
    <w:name w:val="标准文件_标准代替"/>
    <w:basedOn w:val="1"/>
    <w:next w:val="1"/>
    <w:qFormat/>
    <w:uiPriority w:val="0"/>
    <w:pPr>
      <w:spacing w:line="310" w:lineRule="exact"/>
      <w:jc w:val="right"/>
    </w:pPr>
    <w:rPr>
      <w:rFonts w:ascii="宋体" w:hAnsi="宋体"/>
      <w:kern w:val="0"/>
    </w:rPr>
  </w:style>
  <w:style w:type="paragraph" w:customStyle="1" w:styleId="61">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2">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3">
    <w:name w:val="标准文件_页眉偶数页"/>
    <w:basedOn w:val="62"/>
    <w:next w:val="1"/>
    <w:qFormat/>
    <w:uiPriority w:val="0"/>
    <w:pPr>
      <w:jc w:val="left"/>
    </w:pPr>
  </w:style>
  <w:style w:type="paragraph" w:customStyle="1" w:styleId="64">
    <w:name w:val="标准文件_参考文献标题"/>
    <w:basedOn w:val="1"/>
    <w:next w:val="1"/>
    <w:qFormat/>
    <w:uiPriority w:val="0"/>
    <w:pPr>
      <w:widowControl/>
      <w:shd w:val="clear" w:color="FFFFFF" w:fill="FFFFFF"/>
      <w:adjustRightInd/>
      <w:spacing w:beforeLines="40" w:afterLines="50" w:line="240" w:lineRule="auto"/>
      <w:jc w:val="center"/>
      <w:outlineLvl w:val="0"/>
    </w:pPr>
    <w:rPr>
      <w:rFonts w:ascii="黑体" w:eastAsia="黑体"/>
      <w:kern w:val="0"/>
    </w:rPr>
  </w:style>
  <w:style w:type="paragraph" w:customStyle="1" w:styleId="65">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6">
    <w:name w:val="标准文件_二级条标题"/>
    <w:next w:val="57"/>
    <w:qFormat/>
    <w:uiPriority w:val="0"/>
    <w:pPr>
      <w:widowControl w:val="0"/>
      <w:numPr>
        <w:ilvl w:val="3"/>
        <w:numId w:val="2"/>
      </w:numPr>
      <w:spacing w:beforeLines="50" w:afterLines="50"/>
      <w:jc w:val="both"/>
      <w:outlineLvl w:val="2"/>
    </w:pPr>
    <w:rPr>
      <w:rFonts w:ascii="黑体" w:hAnsi="Times New Roman" w:eastAsia="黑体" w:cs="Times New Roman"/>
      <w:sz w:val="21"/>
      <w:lang w:val="en-US" w:eastAsia="zh-CN" w:bidi="ar-SA"/>
    </w:rPr>
  </w:style>
  <w:style w:type="character" w:customStyle="1" w:styleId="67">
    <w:name w:val="标准文件_发布"/>
    <w:qFormat/>
    <w:uiPriority w:val="0"/>
    <w:rPr>
      <w:rFonts w:ascii="黑体" w:eastAsia="黑体"/>
      <w:spacing w:val="0"/>
      <w:w w:val="100"/>
      <w:position w:val="3"/>
      <w:sz w:val="28"/>
    </w:rPr>
  </w:style>
  <w:style w:type="paragraph" w:customStyle="1" w:styleId="68">
    <w:name w:val="标准文件_方框数字列项"/>
    <w:basedOn w:val="57"/>
    <w:qFormat/>
    <w:uiPriority w:val="0"/>
    <w:pPr>
      <w:numPr>
        <w:ilvl w:val="0"/>
        <w:numId w:val="3"/>
      </w:numPr>
      <w:ind w:firstLine="0" w:firstLineChars="0"/>
    </w:pPr>
  </w:style>
  <w:style w:type="paragraph" w:customStyle="1" w:styleId="69">
    <w:name w:val="标准文件_封面标准编号"/>
    <w:basedOn w:val="1"/>
    <w:next w:val="60"/>
    <w:qFormat/>
    <w:uiPriority w:val="0"/>
    <w:pPr>
      <w:spacing w:line="310" w:lineRule="exact"/>
      <w:jc w:val="right"/>
    </w:pPr>
    <w:rPr>
      <w:rFonts w:ascii="黑体" w:eastAsia="黑体"/>
      <w:kern w:val="0"/>
      <w:sz w:val="28"/>
    </w:rPr>
  </w:style>
  <w:style w:type="paragraph" w:customStyle="1" w:styleId="70">
    <w:name w:val="标准文件_封面标准分类号"/>
    <w:basedOn w:val="1"/>
    <w:qFormat/>
    <w:uiPriority w:val="0"/>
    <w:rPr>
      <w:rFonts w:ascii="黑体" w:eastAsia="黑体"/>
      <w:b/>
      <w:kern w:val="0"/>
      <w:sz w:val="28"/>
    </w:rPr>
  </w:style>
  <w:style w:type="paragraph" w:customStyle="1" w:styleId="71">
    <w:name w:val="标准文件_封面标准名称"/>
    <w:basedOn w:val="1"/>
    <w:qFormat/>
    <w:uiPriority w:val="0"/>
    <w:pPr>
      <w:spacing w:line="240" w:lineRule="auto"/>
      <w:jc w:val="center"/>
    </w:pPr>
    <w:rPr>
      <w:rFonts w:ascii="黑体" w:eastAsia="黑体"/>
      <w:kern w:val="0"/>
      <w:sz w:val="52"/>
    </w:rPr>
  </w:style>
  <w:style w:type="paragraph" w:customStyle="1" w:styleId="72">
    <w:name w:val="标准文件_封面标准英文名称"/>
    <w:basedOn w:val="1"/>
    <w:qFormat/>
    <w:uiPriority w:val="0"/>
    <w:pPr>
      <w:spacing w:line="240" w:lineRule="auto"/>
      <w:jc w:val="center"/>
    </w:pPr>
    <w:rPr>
      <w:rFonts w:ascii="黑体" w:eastAsia="黑体"/>
      <w:b/>
      <w:sz w:val="28"/>
    </w:rPr>
  </w:style>
  <w:style w:type="paragraph" w:customStyle="1" w:styleId="73">
    <w:name w:val="标准文件_封面发布日期"/>
    <w:basedOn w:val="1"/>
    <w:qFormat/>
    <w:uiPriority w:val="0"/>
    <w:pPr>
      <w:spacing w:line="310" w:lineRule="exact"/>
    </w:pPr>
    <w:rPr>
      <w:rFonts w:ascii="黑体" w:eastAsia="黑体"/>
      <w:kern w:val="0"/>
      <w:sz w:val="28"/>
    </w:rPr>
  </w:style>
  <w:style w:type="paragraph" w:customStyle="1" w:styleId="74">
    <w:name w:val="标准文件_封面密级"/>
    <w:basedOn w:val="1"/>
    <w:qFormat/>
    <w:uiPriority w:val="0"/>
    <w:rPr>
      <w:rFonts w:eastAsia="黑体"/>
      <w:sz w:val="32"/>
    </w:rPr>
  </w:style>
  <w:style w:type="paragraph" w:customStyle="1" w:styleId="75">
    <w:name w:val="标准文件_封面实施日期"/>
    <w:basedOn w:val="1"/>
    <w:qFormat/>
    <w:uiPriority w:val="0"/>
    <w:pPr>
      <w:spacing w:line="310" w:lineRule="exact"/>
      <w:jc w:val="right"/>
    </w:pPr>
    <w:rPr>
      <w:rFonts w:ascii="黑体" w:eastAsia="黑体"/>
      <w:sz w:val="28"/>
    </w:rPr>
  </w:style>
  <w:style w:type="paragraph" w:customStyle="1" w:styleId="76">
    <w:name w:val="标准文件_封面抬头"/>
    <w:basedOn w:val="57"/>
    <w:qFormat/>
    <w:uiPriority w:val="0"/>
    <w:pPr>
      <w:adjustRightInd w:val="0"/>
      <w:spacing w:line="800" w:lineRule="exact"/>
      <w:ind w:firstLine="0" w:firstLineChars="0"/>
      <w:jc w:val="distribute"/>
    </w:pPr>
    <w:rPr>
      <w:rFonts w:ascii="黑体" w:eastAsia="黑体"/>
      <w:b/>
      <w:sz w:val="64"/>
    </w:rPr>
  </w:style>
  <w:style w:type="paragraph" w:customStyle="1" w:styleId="77">
    <w:name w:val="标准文件_附录标识"/>
    <w:next w:val="57"/>
    <w:qFormat/>
    <w:uiPriority w:val="0"/>
    <w:pPr>
      <w:numPr>
        <w:ilvl w:val="0"/>
        <w:numId w:val="4"/>
      </w:numPr>
      <w:shd w:val="clear" w:color="FFFFFF" w:fill="FFFFFF"/>
      <w:tabs>
        <w:tab w:val="left" w:pos="6406"/>
      </w:tabs>
      <w:spacing w:beforeLines="25" w:afterLines="50"/>
      <w:jc w:val="center"/>
      <w:outlineLvl w:val="0"/>
    </w:pPr>
    <w:rPr>
      <w:rFonts w:ascii="黑体" w:hAnsi="Times New Roman" w:eastAsia="黑体" w:cs="Times New Roman"/>
      <w:sz w:val="21"/>
      <w:lang w:val="en-US" w:eastAsia="zh-CN" w:bidi="ar-SA"/>
    </w:rPr>
  </w:style>
  <w:style w:type="paragraph" w:customStyle="1" w:styleId="78">
    <w:name w:val="标准文件_附录表标题"/>
    <w:next w:val="57"/>
    <w:qFormat/>
    <w:uiPriority w:val="0"/>
    <w:pPr>
      <w:numPr>
        <w:ilvl w:val="1"/>
        <w:numId w:val="5"/>
      </w:numPr>
      <w:adjustRightInd w:val="0"/>
      <w:snapToGrid w:val="0"/>
      <w:spacing w:beforeLines="50" w:afterLines="50"/>
      <w:ind w:firstLine="420"/>
      <w:jc w:val="center"/>
      <w:textAlignment w:val="baseline"/>
    </w:pPr>
    <w:rPr>
      <w:rFonts w:ascii="黑体" w:hAnsi="Times New Roman" w:eastAsia="黑体" w:cs="Times New Roman"/>
      <w:kern w:val="21"/>
      <w:sz w:val="21"/>
      <w:lang w:val="en-US" w:eastAsia="zh-CN" w:bidi="ar-SA"/>
    </w:rPr>
  </w:style>
  <w:style w:type="paragraph" w:customStyle="1" w:styleId="79">
    <w:name w:val="标准文件_附录一级条标题"/>
    <w:next w:val="57"/>
    <w:qFormat/>
    <w:uiPriority w:val="0"/>
    <w:pPr>
      <w:widowControl w:val="0"/>
      <w:numPr>
        <w:ilvl w:val="1"/>
        <w:numId w:val="4"/>
      </w:numPr>
      <w:spacing w:beforeLines="50" w:afterLines="50"/>
      <w:jc w:val="both"/>
      <w:outlineLvl w:val="2"/>
    </w:pPr>
    <w:rPr>
      <w:rFonts w:ascii="黑体" w:hAnsi="Times New Roman" w:eastAsia="黑体" w:cs="Times New Roman"/>
      <w:kern w:val="21"/>
      <w:sz w:val="21"/>
      <w:lang w:val="en-US" w:eastAsia="zh-CN" w:bidi="ar-SA"/>
    </w:rPr>
  </w:style>
  <w:style w:type="paragraph" w:customStyle="1" w:styleId="80">
    <w:name w:val="标准文件_附录二级条标题"/>
    <w:basedOn w:val="79"/>
    <w:next w:val="57"/>
    <w:qFormat/>
    <w:uiPriority w:val="0"/>
    <w:pPr>
      <w:widowControl/>
      <w:numPr>
        <w:ilvl w:val="2"/>
      </w:numPr>
      <w:wordWrap w:val="0"/>
      <w:overflowPunct w:val="0"/>
      <w:autoSpaceDE w:val="0"/>
      <w:autoSpaceDN w:val="0"/>
      <w:textAlignment w:val="baseline"/>
      <w:outlineLvl w:val="3"/>
    </w:pPr>
  </w:style>
  <w:style w:type="paragraph" w:customStyle="1" w:styleId="81">
    <w:name w:val="标准文件_附录公式"/>
    <w:basedOn w:val="56"/>
    <w:next w:val="56"/>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2">
    <w:name w:val="标准文件_附录三级条标题"/>
    <w:next w:val="57"/>
    <w:qFormat/>
    <w:uiPriority w:val="0"/>
    <w:pPr>
      <w:widowControl w:val="0"/>
      <w:numPr>
        <w:ilvl w:val="3"/>
        <w:numId w:val="4"/>
      </w:numPr>
      <w:spacing w:beforeLines="50" w:afterLines="50"/>
      <w:jc w:val="both"/>
      <w:outlineLvl w:val="4"/>
    </w:pPr>
    <w:rPr>
      <w:rFonts w:ascii="黑体" w:hAnsi="Times New Roman" w:eastAsia="黑体" w:cs="Times New Roman"/>
      <w:kern w:val="21"/>
      <w:sz w:val="21"/>
      <w:lang w:val="en-US" w:eastAsia="zh-CN" w:bidi="ar-SA"/>
    </w:rPr>
  </w:style>
  <w:style w:type="paragraph" w:customStyle="1" w:styleId="83">
    <w:name w:val="标准文件_附录四级条标题"/>
    <w:next w:val="57"/>
    <w:qFormat/>
    <w:uiPriority w:val="0"/>
    <w:pPr>
      <w:widowControl w:val="0"/>
      <w:numPr>
        <w:ilvl w:val="4"/>
        <w:numId w:val="4"/>
      </w:numPr>
      <w:spacing w:beforeLines="50" w:afterLines="50"/>
      <w:jc w:val="both"/>
      <w:outlineLvl w:val="5"/>
    </w:pPr>
    <w:rPr>
      <w:rFonts w:ascii="黑体" w:hAnsi="Times New Roman" w:eastAsia="黑体" w:cs="Times New Roman"/>
      <w:kern w:val="21"/>
      <w:sz w:val="21"/>
      <w:lang w:val="en-US" w:eastAsia="zh-CN" w:bidi="ar-SA"/>
    </w:rPr>
  </w:style>
  <w:style w:type="paragraph" w:customStyle="1" w:styleId="84">
    <w:name w:val="标准文件_附录图标题"/>
    <w:next w:val="57"/>
    <w:qFormat/>
    <w:uiPriority w:val="0"/>
    <w:pPr>
      <w:numPr>
        <w:ilvl w:val="1"/>
        <w:numId w:val="6"/>
      </w:numPr>
      <w:adjustRightInd w:val="0"/>
      <w:snapToGrid w:val="0"/>
      <w:spacing w:beforeLines="50" w:afterLines="50"/>
      <w:ind w:firstLine="420"/>
      <w:jc w:val="center"/>
    </w:pPr>
    <w:rPr>
      <w:rFonts w:ascii="黑体" w:hAnsi="Times New Roman" w:eastAsia="黑体" w:cs="Times New Roman"/>
      <w:sz w:val="21"/>
      <w:lang w:val="en-US" w:eastAsia="zh-CN" w:bidi="ar-SA"/>
    </w:rPr>
  </w:style>
  <w:style w:type="paragraph" w:customStyle="1" w:styleId="85">
    <w:name w:val="标准文件_附录五级条标题"/>
    <w:next w:val="57"/>
    <w:qFormat/>
    <w:uiPriority w:val="0"/>
    <w:pPr>
      <w:widowControl w:val="0"/>
      <w:numPr>
        <w:ilvl w:val="5"/>
        <w:numId w:val="4"/>
      </w:numPr>
      <w:spacing w:beforeLines="50" w:afterLines="50"/>
      <w:jc w:val="both"/>
      <w:outlineLvl w:val="6"/>
    </w:pPr>
    <w:rPr>
      <w:rFonts w:ascii="黑体" w:hAnsi="Times New Roman" w:eastAsia="黑体" w:cs="Times New Roman"/>
      <w:kern w:val="21"/>
      <w:sz w:val="21"/>
      <w:lang w:val="en-US" w:eastAsia="zh-CN" w:bidi="ar-SA"/>
    </w:rPr>
  </w:style>
  <w:style w:type="paragraph" w:customStyle="1" w:styleId="86">
    <w:name w:val="标准文件_附录英文标识"/>
    <w:next w:val="14"/>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7">
    <w:name w:val="正文文本 字符"/>
    <w:link w:val="14"/>
    <w:qFormat/>
    <w:uiPriority w:val="0"/>
    <w:rPr>
      <w:rFonts w:ascii="Times New Roman" w:hAnsi="Times New Roman" w:eastAsia="宋体" w:cs="Times New Roman"/>
      <w:szCs w:val="20"/>
    </w:rPr>
  </w:style>
  <w:style w:type="paragraph" w:customStyle="1" w:styleId="88">
    <w:name w:val="标准文件_附录章标题"/>
    <w:next w:val="57"/>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9">
    <w:name w:val="标准文件_公式后的破折号"/>
    <w:basedOn w:val="57"/>
    <w:next w:val="57"/>
    <w:qFormat/>
    <w:uiPriority w:val="0"/>
    <w:pPr>
      <w:ind w:left="488" w:leftChars="200" w:hanging="289" w:hangingChars="290"/>
    </w:pPr>
  </w:style>
  <w:style w:type="paragraph" w:customStyle="1" w:styleId="90">
    <w:name w:val="标准文件_前言、引言标题"/>
    <w:next w:val="1"/>
    <w:qFormat/>
    <w:uiPriority w:val="0"/>
    <w:pPr>
      <w:numPr>
        <w:ilvl w:val="0"/>
        <w:numId w:val="8"/>
      </w:numPr>
      <w:shd w:val="clear" w:color="FFFFFF" w:fill="FFFFFF"/>
      <w:spacing w:afterLines="150"/>
      <w:ind w:left="0" w:firstLine="0"/>
      <w:jc w:val="center"/>
      <w:outlineLvl w:val="0"/>
    </w:pPr>
    <w:rPr>
      <w:rFonts w:ascii="黑体" w:hAnsi="Times New Roman" w:eastAsia="黑体" w:cs="Times New Roman"/>
      <w:sz w:val="32"/>
      <w:lang w:val="en-US" w:eastAsia="zh-CN" w:bidi="ar-SA"/>
    </w:rPr>
  </w:style>
  <w:style w:type="paragraph" w:customStyle="1" w:styleId="91">
    <w:name w:val="标准文件_目次、标准名称标题"/>
    <w:basedOn w:val="90"/>
    <w:next w:val="57"/>
    <w:qFormat/>
    <w:uiPriority w:val="0"/>
    <w:pPr>
      <w:spacing w:line="460" w:lineRule="exact"/>
    </w:pPr>
  </w:style>
  <w:style w:type="paragraph" w:customStyle="1" w:styleId="92">
    <w:name w:val="标准文件_目录标题"/>
    <w:basedOn w:val="1"/>
    <w:qFormat/>
    <w:uiPriority w:val="0"/>
    <w:pPr>
      <w:spacing w:afterLines="150" w:line="240" w:lineRule="auto"/>
      <w:jc w:val="center"/>
    </w:pPr>
    <w:rPr>
      <w:rFonts w:ascii="黑体" w:eastAsia="黑体"/>
      <w:sz w:val="32"/>
    </w:rPr>
  </w:style>
  <w:style w:type="paragraph" w:customStyle="1" w:styleId="93">
    <w:name w:val="标准文件_破折号列项"/>
    <w:qFormat/>
    <w:uiPriority w:val="0"/>
    <w:pPr>
      <w:numPr>
        <w:ilvl w:val="0"/>
        <w:numId w:val="9"/>
      </w:numPr>
      <w:adjustRightInd w:val="0"/>
      <w:snapToGrid w:val="0"/>
      <w:ind w:left="0" w:firstLine="200" w:firstLineChars="200"/>
    </w:pPr>
    <w:rPr>
      <w:rFonts w:ascii="Times New Roman" w:hAnsi="Times New Roman" w:eastAsia="宋体" w:cs="Times New Roman"/>
      <w:sz w:val="21"/>
      <w:lang w:val="en-US" w:eastAsia="zh-CN" w:bidi="ar-SA"/>
    </w:rPr>
  </w:style>
  <w:style w:type="paragraph" w:customStyle="1" w:styleId="94">
    <w:name w:val="标准文件_破折号列项（二级）"/>
    <w:basedOn w:val="93"/>
    <w:qFormat/>
    <w:uiPriority w:val="0"/>
    <w:pPr>
      <w:numPr>
        <w:numId w:val="10"/>
      </w:numPr>
      <w:ind w:left="0" w:firstLine="200"/>
    </w:pPr>
  </w:style>
  <w:style w:type="paragraph" w:customStyle="1" w:styleId="95">
    <w:name w:val="标准文件_三级条标题"/>
    <w:basedOn w:val="66"/>
    <w:next w:val="57"/>
    <w:qFormat/>
    <w:uiPriority w:val="0"/>
    <w:pPr>
      <w:widowControl/>
      <w:numPr>
        <w:ilvl w:val="4"/>
      </w:numPr>
      <w:outlineLvl w:val="3"/>
    </w:pPr>
  </w:style>
  <w:style w:type="character" w:customStyle="1" w:styleId="96">
    <w:name w:val="Subtle Reference"/>
    <w:qFormat/>
    <w:uiPriority w:val="31"/>
    <w:rPr>
      <w:smallCaps/>
      <w:color w:val="C0504D"/>
      <w:u w:val="single"/>
    </w:rPr>
  </w:style>
  <w:style w:type="paragraph" w:customStyle="1" w:styleId="97">
    <w:name w:val="标准文件_示例后续"/>
    <w:basedOn w:val="1"/>
    <w:qFormat/>
    <w:uiPriority w:val="0"/>
    <w:pPr>
      <w:adjustRightInd/>
      <w:spacing w:line="240" w:lineRule="auto"/>
      <w:ind w:firstLine="200" w:firstLineChars="200"/>
    </w:pPr>
    <w:rPr>
      <w:sz w:val="18"/>
      <w:szCs w:val="24"/>
    </w:rPr>
  </w:style>
  <w:style w:type="paragraph" w:customStyle="1" w:styleId="98">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99">
    <w:name w:val="标准文件_四级条标题"/>
    <w:next w:val="57"/>
    <w:qFormat/>
    <w:uiPriority w:val="0"/>
    <w:pPr>
      <w:widowControl w:val="0"/>
      <w:numPr>
        <w:ilvl w:val="5"/>
        <w:numId w:val="2"/>
      </w:numPr>
      <w:spacing w:beforeLines="50" w:afterLines="50"/>
      <w:jc w:val="both"/>
      <w:outlineLvl w:val="4"/>
    </w:pPr>
    <w:rPr>
      <w:rFonts w:ascii="黑体" w:hAnsi="Times New Roman" w:eastAsia="黑体" w:cs="Times New Roman"/>
      <w:sz w:val="21"/>
      <w:lang w:val="en-US" w:eastAsia="zh-CN" w:bidi="ar-SA"/>
    </w:rPr>
  </w:style>
  <w:style w:type="character" w:customStyle="1" w:styleId="100">
    <w:name w:val="脚注文本 字符"/>
    <w:link w:val="22"/>
    <w:semiHidden/>
    <w:qFormat/>
    <w:uiPriority w:val="0"/>
    <w:rPr>
      <w:rFonts w:ascii="宋体" w:hAnsi="Times New Roman" w:eastAsia="宋体" w:cs="Times New Roman"/>
      <w:sz w:val="18"/>
      <w:szCs w:val="18"/>
    </w:rPr>
  </w:style>
  <w:style w:type="paragraph" w:customStyle="1" w:styleId="101">
    <w:name w:val="标准文件_条文脚注"/>
    <w:basedOn w:val="22"/>
    <w:qFormat/>
    <w:uiPriority w:val="0"/>
    <w:pPr>
      <w:adjustRightInd w:val="0"/>
      <w:spacing w:line="240" w:lineRule="auto"/>
      <w:ind w:left="0" w:leftChars="0" w:firstLine="200" w:firstLineChars="200"/>
      <w:jc w:val="both"/>
    </w:pPr>
    <w:rPr>
      <w:rFonts w:hAnsi="宋体"/>
    </w:rPr>
  </w:style>
  <w:style w:type="paragraph" w:customStyle="1" w:styleId="102">
    <w:name w:val="标准文件_图表脚注"/>
    <w:basedOn w:val="1"/>
    <w:next w:val="57"/>
    <w:qFormat/>
    <w:uiPriority w:val="0"/>
    <w:pPr>
      <w:numPr>
        <w:ilvl w:val="0"/>
        <w:numId w:val="12"/>
      </w:numPr>
      <w:spacing w:line="240" w:lineRule="auto"/>
      <w:jc w:val="left"/>
    </w:pPr>
    <w:rPr>
      <w:rFonts w:ascii="宋体" w:hAnsi="宋体"/>
      <w:sz w:val="18"/>
    </w:rPr>
  </w:style>
  <w:style w:type="character" w:customStyle="1" w:styleId="103">
    <w:name w:val="标准文件_图表脚注内容"/>
    <w:qFormat/>
    <w:uiPriority w:val="0"/>
    <w:rPr>
      <w:rFonts w:ascii="宋体" w:hAnsi="宋体" w:eastAsia="宋体" w:cs="Times New Roman"/>
      <w:spacing w:val="0"/>
      <w:sz w:val="18"/>
      <w:vertAlign w:val="superscript"/>
    </w:rPr>
  </w:style>
  <w:style w:type="paragraph" w:customStyle="1" w:styleId="104">
    <w:name w:val="标准文件_五级条标题"/>
    <w:next w:val="57"/>
    <w:qFormat/>
    <w:uiPriority w:val="0"/>
    <w:pPr>
      <w:widowControl w:val="0"/>
      <w:numPr>
        <w:ilvl w:val="6"/>
        <w:numId w:val="2"/>
      </w:numPr>
      <w:spacing w:beforeLines="50" w:afterLines="50"/>
      <w:jc w:val="both"/>
      <w:outlineLvl w:val="5"/>
    </w:pPr>
    <w:rPr>
      <w:rFonts w:ascii="黑体" w:hAnsi="Times New Roman" w:eastAsia="黑体" w:cs="Times New Roman"/>
      <w:sz w:val="21"/>
      <w:lang w:val="en-US" w:eastAsia="zh-CN" w:bidi="ar-SA"/>
    </w:rPr>
  </w:style>
  <w:style w:type="paragraph" w:customStyle="1" w:styleId="105">
    <w:name w:val="标准文件_章标题"/>
    <w:next w:val="57"/>
    <w:qFormat/>
    <w:uiPriority w:val="0"/>
    <w:pPr>
      <w:numPr>
        <w:ilvl w:val="1"/>
        <w:numId w:val="2"/>
      </w:numPr>
      <w:spacing w:beforeLines="100" w:afterLines="100"/>
      <w:jc w:val="both"/>
      <w:outlineLvl w:val="0"/>
    </w:pPr>
    <w:rPr>
      <w:rFonts w:ascii="黑体" w:hAnsi="Times New Roman" w:eastAsia="黑体" w:cs="Times New Roman"/>
      <w:sz w:val="21"/>
      <w:lang w:val="en-US" w:eastAsia="zh-CN" w:bidi="ar-SA"/>
    </w:rPr>
  </w:style>
  <w:style w:type="paragraph" w:customStyle="1" w:styleId="106">
    <w:name w:val="标准文件_一级条标题"/>
    <w:basedOn w:val="105"/>
    <w:next w:val="57"/>
    <w:qFormat/>
    <w:uiPriority w:val="0"/>
    <w:pPr>
      <w:numPr>
        <w:ilvl w:val="2"/>
      </w:numPr>
      <w:spacing w:beforeLines="50" w:afterLines="50"/>
      <w:outlineLvl w:val="1"/>
    </w:pPr>
  </w:style>
  <w:style w:type="paragraph" w:customStyle="1" w:styleId="107">
    <w:name w:val="标准文件_一致程度"/>
    <w:basedOn w:val="1"/>
    <w:qFormat/>
    <w:uiPriority w:val="0"/>
    <w:pPr>
      <w:spacing w:line="440" w:lineRule="exact"/>
      <w:jc w:val="center"/>
    </w:pPr>
    <w:rPr>
      <w:sz w:val="28"/>
    </w:rPr>
  </w:style>
  <w:style w:type="paragraph" w:customStyle="1" w:styleId="108">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9">
    <w:name w:val="标准文件_英文图表脚注"/>
    <w:basedOn w:val="56"/>
    <w:qFormat/>
    <w:uiPriority w:val="0"/>
    <w:pPr>
      <w:widowControl/>
      <w:adjustRightInd/>
      <w:snapToGrid/>
      <w:spacing w:line="240" w:lineRule="auto"/>
      <w:ind w:left="79" w:hanging="79" w:hangingChars="80"/>
    </w:pPr>
    <w:rPr>
      <w:rFonts w:ascii="宋体" w:hAnsi="宋体"/>
    </w:rPr>
  </w:style>
  <w:style w:type="paragraph" w:customStyle="1" w:styleId="110">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1">
    <w:name w:val="标准文件_英文注："/>
    <w:basedOn w:val="1"/>
    <w:next w:val="57"/>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2">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3">
    <w:name w:val="标准文件_正文表标题"/>
    <w:next w:val="57"/>
    <w:qFormat/>
    <w:uiPriority w:val="0"/>
    <w:pPr>
      <w:numPr>
        <w:ilvl w:val="0"/>
        <w:numId w:val="16"/>
      </w:numPr>
      <w:tabs>
        <w:tab w:val="left" w:pos="0"/>
      </w:tabs>
      <w:spacing w:beforeLines="50" w:afterLines="50"/>
      <w:jc w:val="center"/>
    </w:pPr>
    <w:rPr>
      <w:rFonts w:ascii="黑体" w:hAnsi="Times New Roman" w:eastAsia="黑体" w:cs="Times New Roman"/>
      <w:sz w:val="21"/>
      <w:lang w:val="en-US" w:eastAsia="zh-CN" w:bidi="ar-SA"/>
    </w:rPr>
  </w:style>
  <w:style w:type="paragraph" w:customStyle="1" w:styleId="114">
    <w:name w:val="标准文件_正文公式"/>
    <w:basedOn w:val="1"/>
    <w:next w:val="56"/>
    <w:qFormat/>
    <w:uiPriority w:val="0"/>
    <w:pPr>
      <w:tabs>
        <w:tab w:val="center" w:pos="4678"/>
        <w:tab w:val="right" w:leader="middleDot" w:pos="9356"/>
      </w:tabs>
      <w:spacing w:line="240" w:lineRule="auto"/>
    </w:pPr>
    <w:rPr>
      <w:rFonts w:ascii="宋体" w:hAnsi="宋体"/>
    </w:rPr>
  </w:style>
  <w:style w:type="paragraph" w:customStyle="1" w:styleId="115">
    <w:name w:val="标准文件_正文图标题"/>
    <w:next w:val="57"/>
    <w:uiPriority w:val="0"/>
    <w:pPr>
      <w:numPr>
        <w:ilvl w:val="0"/>
        <w:numId w:val="17"/>
      </w:numPr>
      <w:spacing w:beforeLines="50" w:afterLines="50"/>
      <w:jc w:val="center"/>
    </w:pPr>
    <w:rPr>
      <w:rFonts w:ascii="黑体" w:hAnsi="Times New Roman" w:eastAsia="黑体" w:cs="Times New Roman"/>
      <w:sz w:val="21"/>
      <w:lang w:val="en-US" w:eastAsia="zh-CN" w:bidi="ar-SA"/>
    </w:rPr>
  </w:style>
  <w:style w:type="paragraph" w:customStyle="1" w:styleId="116">
    <w:name w:val="标准文件_正文英文表标题"/>
    <w:next w:val="57"/>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7">
    <w:name w:val="标准文件_正文英文图标题"/>
    <w:next w:val="57"/>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8">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19">
    <w:name w:val="二级无标题条"/>
    <w:basedOn w:val="1"/>
    <w:qFormat/>
    <w:uiPriority w:val="0"/>
    <w:pPr>
      <w:numPr>
        <w:ilvl w:val="3"/>
        <w:numId w:val="20"/>
      </w:numPr>
      <w:adjustRightInd/>
      <w:spacing w:line="240" w:lineRule="auto"/>
    </w:pPr>
    <w:rPr>
      <w:rFonts w:ascii="宋体" w:hAnsi="宋体"/>
      <w:szCs w:val="24"/>
    </w:rPr>
  </w:style>
  <w:style w:type="paragraph" w:customStyle="1" w:styleId="120">
    <w:name w:val="发布部门"/>
    <w:next w:val="57"/>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1">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2">
    <w:name w:val="封面标准代替信息"/>
    <w:basedOn w:val="1"/>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3">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4">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5">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6">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7">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8">
    <w:name w:val="封面正文"/>
    <w:uiPriority w:val="0"/>
    <w:pPr>
      <w:jc w:val="both"/>
    </w:pPr>
    <w:rPr>
      <w:rFonts w:ascii="Times New Roman" w:hAnsi="Times New Roman" w:eastAsia="宋体" w:cs="Times New Roman"/>
      <w:lang w:val="en-US" w:eastAsia="zh-CN" w:bidi="ar-SA"/>
    </w:rPr>
  </w:style>
  <w:style w:type="paragraph" w:customStyle="1" w:styleId="129">
    <w:name w:val="附录二级无标题条"/>
    <w:basedOn w:val="1"/>
    <w:next w:val="57"/>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30">
    <w:name w:val="附录三级无标题条"/>
    <w:basedOn w:val="129"/>
    <w:next w:val="57"/>
    <w:uiPriority w:val="0"/>
    <w:pPr>
      <w:outlineLvl w:val="4"/>
    </w:pPr>
  </w:style>
  <w:style w:type="paragraph" w:customStyle="1" w:styleId="131">
    <w:name w:val="附录四级无标题条"/>
    <w:basedOn w:val="130"/>
    <w:next w:val="57"/>
    <w:uiPriority w:val="0"/>
    <w:pPr>
      <w:outlineLvl w:val="5"/>
    </w:pPr>
  </w:style>
  <w:style w:type="paragraph" w:customStyle="1" w:styleId="132">
    <w:name w:val="附录图"/>
    <w:next w:val="57"/>
    <w:uiPriority w:val="0"/>
    <w:pPr>
      <w:wordWrap w:val="0"/>
      <w:overflowPunct w:val="0"/>
      <w:autoSpaceDE w:val="0"/>
      <w:spacing w:beforeLines="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3">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4">
    <w:name w:val="附录五级无标题条"/>
    <w:basedOn w:val="131"/>
    <w:next w:val="57"/>
    <w:qFormat/>
    <w:uiPriority w:val="0"/>
    <w:pPr>
      <w:outlineLvl w:val="6"/>
    </w:pPr>
  </w:style>
  <w:style w:type="paragraph" w:customStyle="1" w:styleId="135">
    <w:name w:val="附录性质"/>
    <w:basedOn w:val="1"/>
    <w:qFormat/>
    <w:uiPriority w:val="0"/>
    <w:pPr>
      <w:widowControl/>
      <w:adjustRightInd/>
      <w:jc w:val="center"/>
    </w:pPr>
    <w:rPr>
      <w:rFonts w:ascii="黑体" w:eastAsia="黑体"/>
    </w:rPr>
  </w:style>
  <w:style w:type="paragraph" w:customStyle="1" w:styleId="136">
    <w:name w:val="附录一级无标题条"/>
    <w:basedOn w:val="88"/>
    <w:next w:val="57"/>
    <w:qFormat/>
    <w:uiPriority w:val="0"/>
    <w:pPr>
      <w:autoSpaceDN w:val="0"/>
      <w:outlineLvl w:val="2"/>
    </w:pPr>
    <w:rPr>
      <w:rFonts w:ascii="宋体" w:hAnsi="宋体" w:eastAsia="宋体"/>
    </w:rPr>
  </w:style>
  <w:style w:type="character" w:customStyle="1" w:styleId="137">
    <w:name w:val="个人答复风格"/>
    <w:qFormat/>
    <w:uiPriority w:val="0"/>
    <w:rPr>
      <w:rFonts w:ascii="Arial" w:hAnsi="Arial" w:eastAsia="宋体" w:cs="Arial"/>
      <w:color w:val="auto"/>
      <w:spacing w:val="0"/>
      <w:sz w:val="20"/>
    </w:rPr>
  </w:style>
  <w:style w:type="character" w:customStyle="1" w:styleId="138">
    <w:name w:val="个人撰写风格"/>
    <w:qFormat/>
    <w:uiPriority w:val="0"/>
    <w:rPr>
      <w:rFonts w:ascii="Arial" w:hAnsi="Arial" w:eastAsia="宋体" w:cs="Arial"/>
      <w:color w:val="auto"/>
      <w:spacing w:val="0"/>
      <w:sz w:val="20"/>
    </w:rPr>
  </w:style>
  <w:style w:type="paragraph" w:customStyle="1" w:styleId="139">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40">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1">
    <w:name w:val="列项·"/>
    <w:basedOn w:val="57"/>
    <w:qFormat/>
    <w:uiPriority w:val="0"/>
    <w:pPr>
      <w:tabs>
        <w:tab w:val="left" w:pos="840"/>
      </w:tabs>
    </w:pPr>
  </w:style>
  <w:style w:type="paragraph" w:customStyle="1" w:styleId="142">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3">
    <w:name w:val="目录 21"/>
    <w:basedOn w:val="1"/>
    <w:next w:val="1"/>
    <w:semiHidden/>
    <w:qFormat/>
    <w:uiPriority w:val="0"/>
    <w:pPr>
      <w:adjustRightInd/>
      <w:spacing w:line="240" w:lineRule="auto"/>
      <w:jc w:val="left"/>
    </w:pPr>
    <w:rPr>
      <w:bCs/>
      <w:iCs/>
    </w:rPr>
  </w:style>
  <w:style w:type="paragraph" w:customStyle="1" w:styleId="144">
    <w:name w:val="目录 31"/>
    <w:basedOn w:val="1"/>
    <w:next w:val="1"/>
    <w:semiHidden/>
    <w:qFormat/>
    <w:uiPriority w:val="0"/>
    <w:pPr>
      <w:spacing w:line="240" w:lineRule="auto"/>
    </w:pPr>
    <w:rPr>
      <w:rFonts w:ascii="宋体" w:hAnsi="宋体"/>
      <w:iCs/>
    </w:rPr>
  </w:style>
  <w:style w:type="paragraph" w:customStyle="1" w:styleId="145">
    <w:name w:val="目录 41"/>
    <w:basedOn w:val="1"/>
    <w:next w:val="1"/>
    <w:semiHidden/>
    <w:qFormat/>
    <w:uiPriority w:val="0"/>
    <w:pPr>
      <w:adjustRightInd/>
      <w:spacing w:line="240" w:lineRule="auto"/>
      <w:jc w:val="left"/>
    </w:pPr>
  </w:style>
  <w:style w:type="paragraph" w:customStyle="1" w:styleId="146">
    <w:name w:val="目录 51"/>
    <w:basedOn w:val="1"/>
    <w:next w:val="1"/>
    <w:semiHidden/>
    <w:qFormat/>
    <w:uiPriority w:val="0"/>
    <w:pPr>
      <w:spacing w:line="240" w:lineRule="auto"/>
    </w:pPr>
    <w:rPr>
      <w:rFonts w:ascii="宋体" w:hAnsi="宋体"/>
    </w:rPr>
  </w:style>
  <w:style w:type="paragraph" w:customStyle="1" w:styleId="147">
    <w:name w:val="目录 61"/>
    <w:basedOn w:val="1"/>
    <w:next w:val="1"/>
    <w:semiHidden/>
    <w:qFormat/>
    <w:uiPriority w:val="0"/>
    <w:pPr>
      <w:adjustRightInd/>
      <w:spacing w:line="240" w:lineRule="auto"/>
      <w:jc w:val="left"/>
    </w:pPr>
  </w:style>
  <w:style w:type="paragraph" w:customStyle="1" w:styleId="148">
    <w:name w:val="目录 71"/>
    <w:basedOn w:val="147"/>
    <w:semiHidden/>
    <w:qFormat/>
    <w:uiPriority w:val="0"/>
    <w:pPr>
      <w:ind w:left="1260"/>
    </w:pPr>
  </w:style>
  <w:style w:type="paragraph" w:customStyle="1" w:styleId="149">
    <w:name w:val="目录 81"/>
    <w:basedOn w:val="148"/>
    <w:semiHidden/>
    <w:qFormat/>
    <w:uiPriority w:val="0"/>
    <w:pPr>
      <w:ind w:left="1470"/>
    </w:pPr>
  </w:style>
  <w:style w:type="paragraph" w:customStyle="1" w:styleId="150">
    <w:name w:val="目录 91"/>
    <w:basedOn w:val="149"/>
    <w:semiHidden/>
    <w:qFormat/>
    <w:uiPriority w:val="0"/>
    <w:pPr>
      <w:ind w:left="1680"/>
    </w:pPr>
  </w:style>
  <w:style w:type="paragraph" w:customStyle="1" w:styleId="151">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2">
    <w:name w:val="其他发布部门"/>
    <w:basedOn w:val="120"/>
    <w:uiPriority w:val="0"/>
    <w:pPr>
      <w:framePr w:wrap="around"/>
      <w:spacing w:line="0" w:lineRule="atLeast"/>
    </w:pPr>
    <w:rPr>
      <w:rFonts w:ascii="黑体" w:eastAsia="黑体"/>
      <w:b w:val="0"/>
    </w:rPr>
  </w:style>
  <w:style w:type="paragraph" w:customStyle="1" w:styleId="153">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4">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5">
    <w:name w:val="实施日期"/>
    <w:basedOn w:val="121"/>
    <w:qFormat/>
    <w:uiPriority w:val="0"/>
    <w:pPr>
      <w:framePr w:hSpace="0" w:wrap="around" w:xAlign="right"/>
      <w:jc w:val="right"/>
    </w:pPr>
  </w:style>
  <w:style w:type="paragraph" w:customStyle="1" w:styleId="156">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7">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8">
    <w:name w:val="无标题条"/>
    <w:next w:val="57"/>
    <w:qFormat/>
    <w:uiPriority w:val="0"/>
    <w:pPr>
      <w:jc w:val="both"/>
    </w:pPr>
    <w:rPr>
      <w:rFonts w:ascii="宋体" w:hAnsi="宋体" w:eastAsia="宋体" w:cs="Times New Roman"/>
      <w:sz w:val="21"/>
      <w:lang w:val="en-US" w:eastAsia="zh-CN" w:bidi="ar-SA"/>
    </w:rPr>
  </w:style>
  <w:style w:type="paragraph" w:customStyle="1" w:styleId="159">
    <w:name w:val="五级无标题条"/>
    <w:basedOn w:val="1"/>
    <w:qFormat/>
    <w:uiPriority w:val="0"/>
    <w:pPr>
      <w:numPr>
        <w:ilvl w:val="6"/>
        <w:numId w:val="20"/>
      </w:numPr>
      <w:adjustRightInd/>
    </w:pPr>
    <w:rPr>
      <w:szCs w:val="24"/>
    </w:rPr>
  </w:style>
  <w:style w:type="paragraph" w:customStyle="1" w:styleId="160">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1">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2">
    <w:name w:val="注×:后续"/>
    <w:basedOn w:val="161"/>
    <w:qFormat/>
    <w:uiPriority w:val="0"/>
    <w:pPr>
      <w:ind w:left="1406" w:leftChars="0" w:hanging="499" w:firstLineChars="0"/>
    </w:pPr>
  </w:style>
  <w:style w:type="paragraph" w:customStyle="1" w:styleId="163">
    <w:name w:val="标准文件_一级无标题"/>
    <w:basedOn w:val="106"/>
    <w:qFormat/>
    <w:uiPriority w:val="0"/>
    <w:pPr>
      <w:spacing w:beforeLines="0" w:afterLines="0"/>
      <w:outlineLvl w:val="9"/>
    </w:pPr>
    <w:rPr>
      <w:rFonts w:ascii="宋体" w:eastAsia="宋体"/>
    </w:rPr>
  </w:style>
  <w:style w:type="paragraph" w:customStyle="1" w:styleId="164">
    <w:name w:val="标准文件_五级无标题"/>
    <w:basedOn w:val="104"/>
    <w:qFormat/>
    <w:uiPriority w:val="0"/>
    <w:pPr>
      <w:spacing w:beforeLines="0" w:afterLines="0"/>
      <w:outlineLvl w:val="9"/>
    </w:pPr>
    <w:rPr>
      <w:rFonts w:ascii="宋体" w:eastAsia="宋体"/>
    </w:rPr>
  </w:style>
  <w:style w:type="paragraph" w:customStyle="1" w:styleId="165">
    <w:name w:val="标准文件_三级无标题"/>
    <w:basedOn w:val="95"/>
    <w:qFormat/>
    <w:uiPriority w:val="0"/>
    <w:pPr>
      <w:spacing w:beforeLines="0" w:afterLines="0"/>
      <w:outlineLvl w:val="9"/>
    </w:pPr>
    <w:rPr>
      <w:rFonts w:ascii="宋体" w:eastAsia="宋体"/>
    </w:rPr>
  </w:style>
  <w:style w:type="paragraph" w:customStyle="1" w:styleId="166">
    <w:name w:val="标准文件_二级无标题"/>
    <w:basedOn w:val="66"/>
    <w:qFormat/>
    <w:uiPriority w:val="0"/>
    <w:pPr>
      <w:spacing w:beforeLines="0" w:afterLines="0"/>
      <w:outlineLvl w:val="9"/>
    </w:pPr>
    <w:rPr>
      <w:rFonts w:ascii="宋体" w:eastAsia="宋体"/>
    </w:rPr>
  </w:style>
  <w:style w:type="paragraph" w:customStyle="1" w:styleId="167">
    <w:name w:val="标准_四级无标题"/>
    <w:basedOn w:val="99"/>
    <w:next w:val="57"/>
    <w:qFormat/>
    <w:uiPriority w:val="0"/>
    <w:rPr>
      <w:rFonts w:eastAsia="宋体"/>
    </w:rPr>
  </w:style>
  <w:style w:type="paragraph" w:customStyle="1" w:styleId="168">
    <w:name w:val="标准文件_四级无标题"/>
    <w:basedOn w:val="99"/>
    <w:qFormat/>
    <w:uiPriority w:val="0"/>
    <w:pPr>
      <w:spacing w:beforeLines="0" w:afterLines="0"/>
      <w:outlineLvl w:val="9"/>
    </w:pPr>
    <w:rPr>
      <w:rFonts w:ascii="宋体" w:hAnsi="黑体" w:eastAsia="宋体"/>
      <w:szCs w:val="52"/>
    </w:rPr>
  </w:style>
  <w:style w:type="paragraph" w:customStyle="1" w:styleId="169">
    <w:name w:val="标准文件_大写罗马数字编号列项"/>
    <w:basedOn w:val="57"/>
    <w:qFormat/>
    <w:uiPriority w:val="0"/>
    <w:pPr>
      <w:numPr>
        <w:ilvl w:val="0"/>
        <w:numId w:val="23"/>
      </w:numPr>
      <w:ind w:firstLine="0" w:firstLineChars="0"/>
    </w:pPr>
    <w:rPr>
      <w:rFonts w:ascii="Times New Roman" w:cs="Arial"/>
      <w:szCs w:val="28"/>
    </w:rPr>
  </w:style>
  <w:style w:type="paragraph" w:customStyle="1" w:styleId="170">
    <w:name w:val="标准文件_小写罗马数字编号列项"/>
    <w:basedOn w:val="57"/>
    <w:qFormat/>
    <w:uiPriority w:val="0"/>
    <w:pPr>
      <w:numPr>
        <w:ilvl w:val="0"/>
        <w:numId w:val="24"/>
      </w:numPr>
      <w:ind w:firstLine="0" w:firstLineChars="0"/>
    </w:pPr>
    <w:rPr>
      <w:rFonts w:cs="Arial"/>
      <w:szCs w:val="28"/>
    </w:rPr>
  </w:style>
  <w:style w:type="paragraph" w:customStyle="1" w:styleId="171">
    <w:name w:val="标准文件_附录标题"/>
    <w:basedOn w:val="77"/>
    <w:qFormat/>
    <w:uiPriority w:val="0"/>
    <w:pPr>
      <w:numPr>
        <w:numId w:val="0"/>
      </w:numPr>
      <w:spacing w:after="280"/>
      <w:outlineLvl w:val="9"/>
    </w:pPr>
  </w:style>
  <w:style w:type="paragraph" w:customStyle="1" w:styleId="172">
    <w:name w:val="标准文件_二级项"/>
    <w:qFormat/>
    <w:uiPriority w:val="0"/>
    <w:rPr>
      <w:rFonts w:ascii="宋体" w:hAnsi="Times New Roman" w:eastAsia="宋体" w:cs="Times New Roman"/>
      <w:sz w:val="21"/>
      <w:lang w:val="en-US" w:eastAsia="zh-CN" w:bidi="ar-SA"/>
    </w:rPr>
  </w:style>
  <w:style w:type="paragraph" w:customStyle="1" w:styleId="173">
    <w:name w:val="标准文件_三级项"/>
    <w:basedOn w:val="1"/>
    <w:qFormat/>
    <w:uiPriority w:val="0"/>
    <w:pPr>
      <w:numPr>
        <w:ilvl w:val="2"/>
        <w:numId w:val="21"/>
      </w:numPr>
      <w:spacing w:line="536870612" w:lineRule="auto"/>
    </w:pPr>
    <w:rPr>
      <w:rFonts w:ascii="Times New Roman" w:hAnsi="Times New Roman"/>
    </w:rPr>
  </w:style>
  <w:style w:type="paragraph" w:customStyle="1" w:styleId="174">
    <w:name w:val="图表脚注说明"/>
    <w:basedOn w:val="1"/>
    <w:next w:val="57"/>
    <w:qFormat/>
    <w:uiPriority w:val="0"/>
    <w:pPr>
      <w:numPr>
        <w:ilvl w:val="0"/>
        <w:numId w:val="25"/>
      </w:numPr>
      <w:adjustRightInd/>
      <w:spacing w:line="240" w:lineRule="auto"/>
      <w:ind w:left="783"/>
    </w:pPr>
    <w:rPr>
      <w:rFonts w:ascii="宋体" w:hAnsi="Times New Roman"/>
      <w:sz w:val="18"/>
      <w:szCs w:val="18"/>
    </w:rPr>
  </w:style>
  <w:style w:type="paragraph" w:customStyle="1" w:styleId="175">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6">
    <w:name w:val="标准文件_索引字母"/>
    <w:next w:val="57"/>
    <w:qFormat/>
    <w:uiPriority w:val="0"/>
    <w:pPr>
      <w:jc w:val="center"/>
    </w:pPr>
    <w:rPr>
      <w:rFonts w:ascii="宋体" w:hAnsi="宋体" w:eastAsia="Times New Roman" w:cs="Times New Roman"/>
      <w:b/>
      <w:kern w:val="2"/>
      <w:sz w:val="21"/>
      <w:lang w:val="en-US" w:eastAsia="zh-CN" w:bidi="ar-SA"/>
    </w:rPr>
  </w:style>
  <w:style w:type="paragraph" w:customStyle="1" w:styleId="177">
    <w:name w:val="标准文件_附录前"/>
    <w:next w:val="57"/>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8">
    <w:name w:val="标准文件_正文标准名称"/>
    <w:qFormat/>
    <w:uiPriority w:val="0"/>
    <w:pPr>
      <w:spacing w:beforeLines="20" w:after="640" w:line="400" w:lineRule="exact"/>
      <w:jc w:val="center"/>
    </w:pPr>
    <w:rPr>
      <w:rFonts w:ascii="黑体" w:hAnsi="黑体" w:eastAsia="黑体" w:cs="Times New Roman"/>
      <w:kern w:val="2"/>
      <w:sz w:val="32"/>
      <w:szCs w:val="32"/>
      <w:lang w:val="en-US" w:eastAsia="zh-CN" w:bidi="ar-SA"/>
    </w:rPr>
  </w:style>
  <w:style w:type="paragraph" w:customStyle="1" w:styleId="179">
    <w:name w:val="标准文件_表格"/>
    <w:basedOn w:val="57"/>
    <w:qFormat/>
    <w:uiPriority w:val="0"/>
    <w:pPr>
      <w:ind w:firstLine="0" w:firstLineChars="0"/>
      <w:jc w:val="center"/>
    </w:pPr>
    <w:rPr>
      <w:sz w:val="18"/>
    </w:rPr>
  </w:style>
  <w:style w:type="paragraph" w:customStyle="1" w:styleId="180">
    <w:name w:val="标准文件_注："/>
    <w:next w:val="57"/>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2">
    <w:name w:val="标准文件_示例："/>
    <w:next w:val="183"/>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3">
    <w:name w:val="标准文件_示例内容"/>
    <w:basedOn w:val="57"/>
    <w:qFormat/>
    <w:uiPriority w:val="0"/>
    <w:pPr>
      <w:ind w:firstLine="420"/>
    </w:pPr>
    <w:rPr>
      <w:sz w:val="18"/>
    </w:rPr>
  </w:style>
  <w:style w:type="paragraph" w:customStyle="1" w:styleId="184">
    <w:name w:val="标准文件_示例×："/>
    <w:basedOn w:val="1"/>
    <w:next w:val="183"/>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5">
    <w:name w:val="标准文件_段 Char"/>
    <w:link w:val="57"/>
    <w:qFormat/>
    <w:uiPriority w:val="0"/>
    <w:rPr>
      <w:rFonts w:ascii="宋体" w:hAnsi="Times New Roman"/>
      <w:sz w:val="21"/>
    </w:rPr>
  </w:style>
  <w:style w:type="paragraph" w:customStyle="1" w:styleId="186">
    <w:name w:val="标准文件_表格续"/>
    <w:basedOn w:val="57"/>
    <w:next w:val="57"/>
    <w:qFormat/>
    <w:uiPriority w:val="0"/>
    <w:pPr>
      <w:jc w:val="center"/>
    </w:pPr>
    <w:rPr>
      <w:rFonts w:ascii="黑体" w:hAnsi="黑体" w:eastAsia="黑体"/>
    </w:rPr>
  </w:style>
  <w:style w:type="character" w:styleId="187">
    <w:name w:val="Placeholder Text"/>
    <w:basedOn w:val="29"/>
    <w:semiHidden/>
    <w:qFormat/>
    <w:uiPriority w:val="99"/>
    <w:rPr>
      <w:color w:val="808080"/>
    </w:rPr>
  </w:style>
  <w:style w:type="paragraph" w:customStyle="1" w:styleId="188">
    <w:name w:val="标准文件_二级项2"/>
    <w:basedOn w:val="57"/>
    <w:qFormat/>
    <w:uiPriority w:val="0"/>
    <w:pPr>
      <w:numPr>
        <w:ilvl w:val="1"/>
        <w:numId w:val="21"/>
      </w:numPr>
      <w:ind w:left="1271" w:hanging="420" w:firstLineChars="0"/>
    </w:pPr>
  </w:style>
  <w:style w:type="paragraph" w:customStyle="1" w:styleId="189">
    <w:name w:val="标准文件_三级项2"/>
    <w:basedOn w:val="57"/>
    <w:qFormat/>
    <w:uiPriority w:val="0"/>
    <w:pPr>
      <w:numPr>
        <w:ilvl w:val="0"/>
        <w:numId w:val="30"/>
      </w:numPr>
      <w:spacing w:line="300" w:lineRule="exact"/>
      <w:ind w:left="1276" w:hanging="425" w:firstLineChars="0"/>
    </w:pPr>
    <w:rPr>
      <w:rFonts w:ascii="Times New Roman"/>
    </w:rPr>
  </w:style>
  <w:style w:type="paragraph" w:customStyle="1" w:styleId="190">
    <w:name w:val="标准文件_一级项2"/>
    <w:basedOn w:val="57"/>
    <w:qFormat/>
    <w:uiPriority w:val="0"/>
    <w:pPr>
      <w:numPr>
        <w:ilvl w:val="0"/>
        <w:numId w:val="31"/>
      </w:numPr>
      <w:spacing w:line="300" w:lineRule="exact"/>
      <w:ind w:left="1271" w:hanging="420" w:firstLineChars="0"/>
    </w:pPr>
    <w:rPr>
      <w:rFonts w:ascii="Times New Roman"/>
    </w:rPr>
  </w:style>
  <w:style w:type="paragraph" w:customStyle="1" w:styleId="191">
    <w:name w:val="标准文件_提示"/>
    <w:basedOn w:val="57"/>
    <w:next w:val="57"/>
    <w:qFormat/>
    <w:uiPriority w:val="0"/>
    <w:pPr>
      <w:ind w:firstLine="420"/>
    </w:pPr>
    <w:rPr>
      <w:rFonts w:ascii="黑体" w:eastAsia="黑体"/>
    </w:rPr>
  </w:style>
  <w:style w:type="character" w:customStyle="1" w:styleId="192">
    <w:name w:val="标准文件_来源"/>
    <w:basedOn w:val="29"/>
    <w:qFormat/>
    <w:uiPriority w:val="1"/>
    <w:rPr>
      <w:rFonts w:eastAsia="宋体"/>
      <w:sz w:val="21"/>
    </w:rPr>
  </w:style>
  <w:style w:type="paragraph" w:customStyle="1" w:styleId="193">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4">
    <w:name w:val="其他发布日期"/>
    <w:basedOn w:val="121"/>
    <w:qFormat/>
    <w:uiPriority w:val="0"/>
    <w:pPr>
      <w:framePr w:w="3997" w:h="471" w:hRule="exact" w:hSpace="0" w:vSpace="181" w:wrap="around" w:vAnchor="page" w:hAnchor="page" w:x="1419" w:y="14097"/>
    </w:pPr>
  </w:style>
  <w:style w:type="paragraph" w:customStyle="1" w:styleId="195">
    <w:name w:val="其他实施日期"/>
    <w:basedOn w:val="155"/>
    <w:qFormat/>
    <w:uiPriority w:val="0"/>
    <w:pPr>
      <w:framePr w:w="3997" w:h="471" w:hRule="exact" w:vSpace="181" w:wrap="around" w:vAnchor="page" w:hAnchor="page" w:x="7089" w:y="14097"/>
    </w:pPr>
  </w:style>
  <w:style w:type="paragraph" w:customStyle="1" w:styleId="196">
    <w:name w:val="标准文件_文件编号"/>
    <w:basedOn w:val="57"/>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7">
    <w:name w:val="标准文件_替换文件编号"/>
    <w:basedOn w:val="196"/>
    <w:qFormat/>
    <w:uiPriority w:val="0"/>
    <w:pPr>
      <w:framePr/>
      <w:spacing w:before="57"/>
    </w:pPr>
    <w:rPr>
      <w:sz w:val="21"/>
    </w:rPr>
  </w:style>
  <w:style w:type="paragraph" w:customStyle="1" w:styleId="198">
    <w:name w:val="标准文件_文件名称"/>
    <w:basedOn w:val="57"/>
    <w:next w:val="57"/>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199">
    <w:name w:val="标准文件_附录图标号"/>
    <w:basedOn w:val="57"/>
    <w:next w:val="57"/>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200">
    <w:name w:val="标准文件_附录表标号"/>
    <w:basedOn w:val="57"/>
    <w:next w:val="57"/>
    <w:qFormat/>
    <w:uiPriority w:val="0"/>
    <w:pPr>
      <w:numPr>
        <w:ilvl w:val="0"/>
        <w:numId w:val="5"/>
      </w:numPr>
      <w:spacing w:line="14" w:lineRule="exact"/>
      <w:ind w:firstLine="0" w:firstLineChars="0"/>
      <w:jc w:val="center"/>
    </w:pPr>
    <w:rPr>
      <w:rFonts w:eastAsia="黑体"/>
      <w:vanish/>
      <w:sz w:val="2"/>
    </w:rPr>
  </w:style>
  <w:style w:type="paragraph" w:customStyle="1" w:styleId="201">
    <w:name w:val="标准文件_引言一级条标题"/>
    <w:basedOn w:val="57"/>
    <w:next w:val="57"/>
    <w:qFormat/>
    <w:uiPriority w:val="0"/>
    <w:pPr>
      <w:numPr>
        <w:ilvl w:val="1"/>
        <w:numId w:val="8"/>
      </w:numPr>
      <w:spacing w:beforeLines="50" w:afterLines="50"/>
      <w:ind w:firstLineChars="0"/>
    </w:pPr>
    <w:rPr>
      <w:rFonts w:ascii="黑体" w:eastAsia="黑体"/>
    </w:rPr>
  </w:style>
  <w:style w:type="paragraph" w:customStyle="1" w:styleId="202">
    <w:name w:val="标准文件_引言二级条标题"/>
    <w:basedOn w:val="57"/>
    <w:next w:val="57"/>
    <w:qFormat/>
    <w:uiPriority w:val="0"/>
    <w:pPr>
      <w:numPr>
        <w:ilvl w:val="2"/>
        <w:numId w:val="8"/>
      </w:numPr>
      <w:spacing w:beforeLines="50" w:afterLines="50"/>
      <w:ind w:firstLineChars="0"/>
    </w:pPr>
    <w:rPr>
      <w:rFonts w:ascii="黑体" w:eastAsia="黑体"/>
    </w:rPr>
  </w:style>
  <w:style w:type="paragraph" w:customStyle="1" w:styleId="203">
    <w:name w:val="标准文件_引言三级条标题"/>
    <w:basedOn w:val="57"/>
    <w:next w:val="57"/>
    <w:qFormat/>
    <w:uiPriority w:val="0"/>
    <w:pPr>
      <w:numPr>
        <w:ilvl w:val="3"/>
        <w:numId w:val="8"/>
      </w:numPr>
      <w:spacing w:beforeLines="50" w:afterLines="50"/>
      <w:ind w:firstLineChars="0"/>
    </w:pPr>
    <w:rPr>
      <w:rFonts w:ascii="黑体" w:eastAsia="黑体"/>
    </w:rPr>
  </w:style>
  <w:style w:type="paragraph" w:customStyle="1" w:styleId="204">
    <w:name w:val="标准文件_引言四级条标题"/>
    <w:basedOn w:val="57"/>
    <w:next w:val="57"/>
    <w:qFormat/>
    <w:uiPriority w:val="0"/>
    <w:pPr>
      <w:numPr>
        <w:ilvl w:val="4"/>
        <w:numId w:val="8"/>
      </w:numPr>
      <w:spacing w:beforeLines="50" w:afterLines="50"/>
      <w:ind w:firstLineChars="0"/>
    </w:pPr>
    <w:rPr>
      <w:rFonts w:ascii="黑体" w:eastAsia="黑体"/>
    </w:rPr>
  </w:style>
  <w:style w:type="paragraph" w:customStyle="1" w:styleId="205">
    <w:name w:val="标准文件_引言五级条标题"/>
    <w:basedOn w:val="57"/>
    <w:next w:val="57"/>
    <w:qFormat/>
    <w:uiPriority w:val="0"/>
    <w:pPr>
      <w:numPr>
        <w:ilvl w:val="5"/>
        <w:numId w:val="8"/>
      </w:numPr>
      <w:spacing w:beforeLines="50" w:afterLines="50"/>
      <w:ind w:firstLineChars="0"/>
    </w:pPr>
    <w:rPr>
      <w:rFonts w:ascii="黑体" w:eastAsia="黑体"/>
    </w:rPr>
  </w:style>
  <w:style w:type="paragraph" w:customStyle="1" w:styleId="206">
    <w:name w:val="标准文件_注后"/>
    <w:basedOn w:val="57"/>
    <w:qFormat/>
    <w:uiPriority w:val="0"/>
    <w:pPr>
      <w:ind w:left="811" w:firstLine="0" w:firstLineChars="0"/>
    </w:pPr>
    <w:rPr>
      <w:sz w:val="18"/>
    </w:rPr>
  </w:style>
  <w:style w:type="paragraph" w:customStyle="1" w:styleId="207">
    <w:name w:val="标准文件_注X后"/>
    <w:basedOn w:val="57"/>
    <w:qFormat/>
    <w:uiPriority w:val="0"/>
    <w:pPr>
      <w:ind w:left="811" w:firstLine="0" w:firstLineChars="0"/>
    </w:pPr>
    <w:rPr>
      <w:sz w:val="18"/>
    </w:rPr>
  </w:style>
  <w:style w:type="paragraph" w:customStyle="1" w:styleId="208">
    <w:name w:val="标准文件_示例后"/>
    <w:basedOn w:val="57"/>
    <w:qFormat/>
    <w:uiPriority w:val="0"/>
    <w:pPr>
      <w:ind w:left="964" w:firstLine="0" w:firstLineChars="0"/>
    </w:pPr>
    <w:rPr>
      <w:sz w:val="18"/>
    </w:rPr>
  </w:style>
  <w:style w:type="paragraph" w:customStyle="1" w:styleId="209">
    <w:name w:val="标准文件_示例X后"/>
    <w:basedOn w:val="57"/>
    <w:link w:val="210"/>
    <w:qFormat/>
    <w:uiPriority w:val="0"/>
    <w:pPr>
      <w:ind w:left="1049" w:firstLine="0" w:firstLineChars="0"/>
    </w:pPr>
    <w:rPr>
      <w:sz w:val="18"/>
    </w:rPr>
  </w:style>
  <w:style w:type="character" w:customStyle="1" w:styleId="210">
    <w:name w:val="标准文件_示例X后 字符"/>
    <w:basedOn w:val="185"/>
    <w:link w:val="209"/>
    <w:qFormat/>
    <w:uiPriority w:val="0"/>
    <w:rPr>
      <w:rFonts w:ascii="宋体" w:hAnsi="Times New Roman"/>
      <w:sz w:val="18"/>
    </w:rPr>
  </w:style>
  <w:style w:type="paragraph" w:customStyle="1" w:styleId="211">
    <w:name w:val="标准文件_索引项"/>
    <w:basedOn w:val="57"/>
    <w:next w:val="57"/>
    <w:qFormat/>
    <w:uiPriority w:val="0"/>
    <w:pPr>
      <w:tabs>
        <w:tab w:val="right" w:leader="dot" w:pos="9356"/>
      </w:tabs>
      <w:ind w:left="210" w:hanging="210" w:firstLineChars="0"/>
      <w:jc w:val="left"/>
    </w:pPr>
  </w:style>
  <w:style w:type="paragraph" w:customStyle="1" w:styleId="212">
    <w:name w:val="标准文件_附录一级无标题"/>
    <w:basedOn w:val="79"/>
    <w:qFormat/>
    <w:uiPriority w:val="0"/>
    <w:pPr>
      <w:spacing w:beforeLines="0" w:afterLines="0" w:line="276" w:lineRule="auto"/>
      <w:outlineLvl w:val="9"/>
    </w:pPr>
    <w:rPr>
      <w:rFonts w:ascii="宋体" w:eastAsia="宋体"/>
    </w:rPr>
  </w:style>
  <w:style w:type="paragraph" w:customStyle="1" w:styleId="213">
    <w:name w:val="标准文件_附录二级无标题"/>
    <w:basedOn w:val="80"/>
    <w:qFormat/>
    <w:uiPriority w:val="0"/>
    <w:pPr>
      <w:spacing w:beforeLines="0" w:afterLines="0" w:line="276" w:lineRule="auto"/>
      <w:outlineLvl w:val="9"/>
    </w:pPr>
    <w:rPr>
      <w:rFonts w:ascii="宋体" w:eastAsia="宋体"/>
    </w:rPr>
  </w:style>
  <w:style w:type="paragraph" w:customStyle="1" w:styleId="214">
    <w:name w:val="标准文件_附录三级无标题"/>
    <w:basedOn w:val="82"/>
    <w:qFormat/>
    <w:uiPriority w:val="0"/>
    <w:pPr>
      <w:spacing w:beforeLines="0" w:afterLines="0" w:line="276" w:lineRule="auto"/>
      <w:outlineLvl w:val="9"/>
    </w:pPr>
    <w:rPr>
      <w:rFonts w:ascii="宋体" w:eastAsia="宋体"/>
    </w:rPr>
  </w:style>
  <w:style w:type="paragraph" w:customStyle="1" w:styleId="215">
    <w:name w:val="标准文件_附录四级无标题"/>
    <w:basedOn w:val="83"/>
    <w:qFormat/>
    <w:uiPriority w:val="0"/>
    <w:pPr>
      <w:spacing w:beforeLines="0" w:afterLines="0" w:line="276" w:lineRule="auto"/>
      <w:outlineLvl w:val="9"/>
    </w:pPr>
    <w:rPr>
      <w:rFonts w:ascii="宋体" w:eastAsia="宋体"/>
    </w:rPr>
  </w:style>
  <w:style w:type="paragraph" w:customStyle="1" w:styleId="216">
    <w:name w:val="标准文件_附录五级无标题"/>
    <w:basedOn w:val="85"/>
    <w:qFormat/>
    <w:uiPriority w:val="0"/>
    <w:pPr>
      <w:spacing w:beforeLines="0" w:afterLines="0" w:line="276" w:lineRule="auto"/>
      <w:outlineLvl w:val="9"/>
    </w:pPr>
    <w:rPr>
      <w:rFonts w:ascii="宋体" w:eastAsia="宋体"/>
    </w:rPr>
  </w:style>
  <w:style w:type="paragraph" w:customStyle="1" w:styleId="217">
    <w:name w:val="标准文件_引言一级无标题"/>
    <w:basedOn w:val="201"/>
    <w:next w:val="57"/>
    <w:qFormat/>
    <w:uiPriority w:val="0"/>
    <w:pPr>
      <w:spacing w:beforeLines="0" w:afterLines="0" w:line="276" w:lineRule="auto"/>
    </w:pPr>
    <w:rPr>
      <w:rFonts w:ascii="宋体" w:eastAsia="宋体"/>
    </w:rPr>
  </w:style>
  <w:style w:type="paragraph" w:customStyle="1" w:styleId="218">
    <w:name w:val="标准文件_引言二级无标题"/>
    <w:basedOn w:val="202"/>
    <w:next w:val="57"/>
    <w:qFormat/>
    <w:uiPriority w:val="0"/>
    <w:pPr>
      <w:spacing w:beforeLines="0" w:afterLines="0" w:line="276" w:lineRule="auto"/>
    </w:pPr>
    <w:rPr>
      <w:rFonts w:ascii="宋体" w:eastAsia="宋体"/>
    </w:rPr>
  </w:style>
  <w:style w:type="paragraph" w:customStyle="1" w:styleId="219">
    <w:name w:val="标准文件_引言三级无标题"/>
    <w:basedOn w:val="203"/>
    <w:next w:val="57"/>
    <w:qFormat/>
    <w:uiPriority w:val="0"/>
    <w:pPr>
      <w:spacing w:beforeLines="0" w:afterLines="0" w:line="276" w:lineRule="auto"/>
    </w:pPr>
    <w:rPr>
      <w:rFonts w:ascii="宋体" w:eastAsia="宋体"/>
    </w:rPr>
  </w:style>
  <w:style w:type="paragraph" w:customStyle="1" w:styleId="220">
    <w:name w:val="标准文件_引言四级无标题"/>
    <w:basedOn w:val="204"/>
    <w:next w:val="57"/>
    <w:qFormat/>
    <w:uiPriority w:val="0"/>
    <w:pPr>
      <w:spacing w:beforeLines="0" w:afterLines="0" w:line="276" w:lineRule="auto"/>
    </w:pPr>
    <w:rPr>
      <w:rFonts w:ascii="宋体" w:eastAsia="宋体"/>
    </w:rPr>
  </w:style>
  <w:style w:type="paragraph" w:customStyle="1" w:styleId="221">
    <w:name w:val="标准文件_引言五级无标题"/>
    <w:basedOn w:val="205"/>
    <w:next w:val="57"/>
    <w:qFormat/>
    <w:uiPriority w:val="0"/>
    <w:pPr>
      <w:spacing w:beforeLines="0" w:afterLines="0" w:line="276" w:lineRule="auto"/>
    </w:pPr>
    <w:rPr>
      <w:rFonts w:ascii="宋体" w:eastAsia="宋体"/>
    </w:rPr>
  </w:style>
  <w:style w:type="paragraph" w:customStyle="1" w:styleId="222">
    <w:name w:val="标准文件_索引标题"/>
    <w:basedOn w:val="64"/>
    <w:next w:val="57"/>
    <w:qFormat/>
    <w:uiPriority w:val="0"/>
    <w:rPr>
      <w:rFonts w:hAnsi="黑体"/>
    </w:rPr>
  </w:style>
  <w:style w:type="paragraph" w:customStyle="1" w:styleId="223">
    <w:name w:val="标准文件_脚注内容"/>
    <w:basedOn w:val="57"/>
    <w:qFormat/>
    <w:uiPriority w:val="0"/>
    <w:pPr>
      <w:ind w:left="400" w:leftChars="200" w:hanging="200" w:hangingChars="200"/>
    </w:pPr>
    <w:rPr>
      <w:sz w:val="15"/>
    </w:rPr>
  </w:style>
  <w:style w:type="paragraph" w:customStyle="1" w:styleId="224">
    <w:name w:val="标准文件_术语条一"/>
    <w:basedOn w:val="163"/>
    <w:next w:val="57"/>
    <w:qFormat/>
    <w:uiPriority w:val="0"/>
  </w:style>
  <w:style w:type="paragraph" w:customStyle="1" w:styleId="225">
    <w:name w:val="标准文件_术语条二"/>
    <w:basedOn w:val="166"/>
    <w:next w:val="57"/>
    <w:qFormat/>
    <w:uiPriority w:val="0"/>
  </w:style>
  <w:style w:type="paragraph" w:customStyle="1" w:styleId="226">
    <w:name w:val="标准文件_术语条三"/>
    <w:basedOn w:val="165"/>
    <w:next w:val="57"/>
    <w:qFormat/>
    <w:uiPriority w:val="0"/>
  </w:style>
  <w:style w:type="paragraph" w:customStyle="1" w:styleId="227">
    <w:name w:val="标准文件_术语条四"/>
    <w:basedOn w:val="168"/>
    <w:next w:val="57"/>
    <w:qFormat/>
    <w:uiPriority w:val="0"/>
  </w:style>
  <w:style w:type="paragraph" w:customStyle="1" w:styleId="228">
    <w:name w:val="标准文件_术语条五"/>
    <w:basedOn w:val="164"/>
    <w:next w:val="57"/>
    <w:qFormat/>
    <w:uiPriority w:val="0"/>
  </w:style>
  <w:style w:type="paragraph" w:customStyle="1" w:styleId="229">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30">
    <w:name w:val="发布"/>
    <w:basedOn w:val="29"/>
    <w:qFormat/>
    <w:uiPriority w:val="0"/>
    <w:rPr>
      <w:rFonts w:ascii="黑体" w:eastAsia="黑体"/>
      <w:spacing w:val="85"/>
      <w:w w:val="100"/>
      <w:position w:val="3"/>
      <w:sz w:val="28"/>
      <w:szCs w:val="28"/>
    </w:rPr>
  </w:style>
  <w:style w:type="character" w:customStyle="1" w:styleId="231">
    <w:name w:val="文档结构图 字符"/>
    <w:basedOn w:val="29"/>
    <w:link w:val="13"/>
    <w:semiHidden/>
    <w:qFormat/>
    <w:uiPriority w:val="99"/>
    <w:rPr>
      <w:rFonts w:ascii="宋体"/>
      <w:kern w:val="2"/>
      <w:sz w:val="18"/>
      <w:szCs w:val="18"/>
    </w:rPr>
  </w:style>
  <w:style w:type="character" w:customStyle="1" w:styleId="232">
    <w:name w:val="段 Char"/>
    <w:link w:val="233"/>
    <w:qFormat/>
    <w:locked/>
    <w:uiPriority w:val="0"/>
    <w:rPr>
      <w:rFonts w:ascii="宋体" w:hAnsi="宋体"/>
      <w:sz w:val="21"/>
    </w:rPr>
  </w:style>
  <w:style w:type="paragraph" w:customStyle="1" w:styleId="233">
    <w:name w:val="段"/>
    <w:link w:val="232"/>
    <w:qFormat/>
    <w:uiPriority w:val="0"/>
    <w:pPr>
      <w:tabs>
        <w:tab w:val="center" w:pos="4201"/>
        <w:tab w:val="right" w:leader="dot" w:pos="9298"/>
      </w:tabs>
      <w:autoSpaceDE w:val="0"/>
      <w:autoSpaceDN w:val="0"/>
      <w:ind w:firstLine="420" w:firstLineChars="200"/>
      <w:jc w:val="both"/>
    </w:pPr>
    <w:rPr>
      <w:rFonts w:ascii="宋体" w:hAnsi="宋体" w:eastAsia="宋体" w:cs="Times New Roman"/>
      <w:sz w:val="21"/>
      <w:lang w:val="en-US" w:eastAsia="zh-CN" w:bidi="ar-SA"/>
    </w:rPr>
  </w:style>
  <w:style w:type="paragraph" w:customStyle="1" w:styleId="234">
    <w:name w:val="正文表标题"/>
    <w:next w:val="233"/>
    <w:qFormat/>
    <w:uiPriority w:val="0"/>
    <w:pPr>
      <w:tabs>
        <w:tab w:val="left" w:pos="330"/>
        <w:tab w:val="left" w:pos="360"/>
      </w:tabs>
      <w:spacing w:before="156" w:beforeLines="50" w:after="156" w:afterLines="50"/>
      <w:ind w:left="948" w:hanging="420"/>
      <w:jc w:val="center"/>
    </w:pPr>
    <w:rPr>
      <w:rFonts w:ascii="黑体" w:hAnsi="Times New Roman" w:eastAsia="黑体" w:cs="Times New Roman"/>
      <w:sz w:val="21"/>
      <w:lang w:val="en-US" w:eastAsia="zh-CN" w:bidi="ar-SA"/>
    </w:rPr>
  </w:style>
  <w:style w:type="paragraph" w:customStyle="1" w:styleId="235">
    <w:name w:val="二级条标题"/>
    <w:basedOn w:val="1"/>
    <w:next w:val="233"/>
    <w:qFormat/>
    <w:uiPriority w:val="0"/>
    <w:pPr>
      <w:widowControl/>
      <w:tabs>
        <w:tab w:val="left" w:pos="1260"/>
      </w:tabs>
      <w:adjustRightInd/>
      <w:spacing w:before="50" w:beforeLines="50" w:after="50" w:afterLines="50" w:line="240" w:lineRule="auto"/>
      <w:ind w:left="1260" w:hanging="420"/>
      <w:jc w:val="left"/>
      <w:outlineLvl w:val="3"/>
    </w:pPr>
    <w:rPr>
      <w:rFonts w:ascii="黑体" w:hAnsi="Times New Roman" w:eastAsia="黑体"/>
      <w:kern w:val="0"/>
    </w:rPr>
  </w:style>
  <w:style w:type="paragraph" w:customStyle="1" w:styleId="236">
    <w:name w:val="一级条标题"/>
    <w:next w:val="233"/>
    <w:qFormat/>
    <w:uiPriority w:val="0"/>
    <w:pPr>
      <w:tabs>
        <w:tab w:val="left" w:pos="840"/>
      </w:tabs>
      <w:spacing w:before="156" w:beforeLines="50" w:after="156" w:afterLines="50"/>
      <w:ind w:left="840" w:hanging="420"/>
      <w:outlineLvl w:val="2"/>
    </w:pPr>
    <w:rPr>
      <w:rFonts w:ascii="黑体" w:hAnsi="Times New Roman" w:eastAsia="黑体" w:cs="Times New Roman"/>
      <w:sz w:val="21"/>
      <w:szCs w:val="21"/>
      <w:lang w:val="en-US" w:eastAsia="zh-CN" w:bidi="ar-SA"/>
    </w:rPr>
  </w:style>
  <w:style w:type="paragraph" w:customStyle="1" w:styleId="237">
    <w:name w:val="二级无"/>
    <w:basedOn w:val="235"/>
    <w:qFormat/>
    <w:uiPriority w:val="0"/>
    <w:pPr>
      <w:tabs>
        <w:tab w:val="clear" w:pos="1260"/>
      </w:tabs>
      <w:spacing w:before="0" w:beforeLines="0" w:after="0" w:afterLines="0"/>
      <w:ind w:left="0" w:firstLine="0"/>
    </w:pPr>
    <w:rPr>
      <w:rFonts w:ascii="宋体" w:eastAsia="宋体"/>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2" Type="http://schemas.openxmlformats.org/officeDocument/2006/relationships/glossaryDocument" Target="glossary/document.xml"/><Relationship Id="rId21" Type="http://schemas.openxmlformats.org/officeDocument/2006/relationships/fontTable" Target="fontTable.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1.jpeg"/><Relationship Id="rId16" Type="http://schemas.openxmlformats.org/officeDocument/2006/relationships/theme" Target="theme/theme1.xml"/><Relationship Id="rId15" Type="http://schemas.openxmlformats.org/officeDocument/2006/relationships/footer" Target="footer5.xml"/><Relationship Id="rId14" Type="http://schemas.openxmlformats.org/officeDocument/2006/relationships/footer" Target="footer4.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footer" Target="footer3.xml"/><Relationship Id="rId10" Type="http://schemas.openxmlformats.org/officeDocument/2006/relationships/header" Target="header4.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7F78032B88594E32A3B39E62F7A4F8CD"/>
        <w:style w:val=""/>
        <w:category>
          <w:name w:val="常规"/>
          <w:gallery w:val="placeholder"/>
        </w:category>
        <w:types>
          <w:type w:val="bbPlcHdr"/>
        </w:types>
        <w:behaviors>
          <w:behavior w:val="content"/>
        </w:behaviors>
        <w:description w:val=""/>
        <w:guid w:val="{00EFBE9C-F792-482E-91E5-B8FB088E0ED5}"/>
      </w:docPartPr>
      <w:docPartBody>
        <w:p>
          <w:pPr>
            <w:pStyle w:val="5"/>
          </w:pPr>
          <w:r>
            <w:rPr>
              <w:rStyle w:val="4"/>
              <w:rFonts w:hint="eastAsia"/>
            </w:rPr>
            <w:t>单击或点击此处输入文字。</w:t>
          </w:r>
        </w:p>
      </w:docPartBody>
    </w:docPart>
    <w:docPart>
      <w:docPartPr>
        <w:name w:val="1128178FFB324015A2E6A0031D0C445D"/>
        <w:style w:val=""/>
        <w:category>
          <w:name w:val="常规"/>
          <w:gallery w:val="placeholder"/>
        </w:category>
        <w:types>
          <w:type w:val="bbPlcHdr"/>
        </w:types>
        <w:behaviors>
          <w:behavior w:val="content"/>
        </w:behaviors>
        <w:description w:val=""/>
        <w:guid w:val="{04C32BCB-C486-46C9-BBE7-4A17470CBF79}"/>
      </w:docPartPr>
      <w:docPartBody>
        <w:p>
          <w:pPr>
            <w:pStyle w:val="6"/>
          </w:pPr>
          <w:r>
            <w:rPr>
              <w:rStyle w:val="4"/>
              <w:rFonts w:hint="eastAsia"/>
            </w:rPr>
            <w:t>选择一项。</w:t>
          </w:r>
        </w:p>
      </w:docPartBody>
    </w:docPart>
    <w:docPart>
      <w:docPartPr>
        <w:name w:val="D8B0446147FB4CB9BDBC19E7612FA692"/>
        <w:style w:val=""/>
        <w:category>
          <w:name w:val="常规"/>
          <w:gallery w:val="placeholder"/>
        </w:category>
        <w:types>
          <w:type w:val="bbPlcHdr"/>
        </w:types>
        <w:behaviors>
          <w:behavior w:val="content"/>
        </w:behaviors>
        <w:description w:val=""/>
        <w:guid w:val="{91195FB8-6D5D-4224-A427-A9E96CE19FBC}"/>
      </w:docPartPr>
      <w:docPartBody>
        <w:p>
          <w:pPr>
            <w:pStyle w:val="7"/>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8B2634"/>
    <w:rsid w:val="00045276"/>
    <w:rsid w:val="000B7A4C"/>
    <w:rsid w:val="00115000"/>
    <w:rsid w:val="00130D51"/>
    <w:rsid w:val="0022179A"/>
    <w:rsid w:val="002E68B4"/>
    <w:rsid w:val="00312490"/>
    <w:rsid w:val="004374B4"/>
    <w:rsid w:val="005B64E4"/>
    <w:rsid w:val="005E6EA2"/>
    <w:rsid w:val="006113A7"/>
    <w:rsid w:val="007E0BA6"/>
    <w:rsid w:val="008B2634"/>
    <w:rsid w:val="00982843"/>
    <w:rsid w:val="00A213B0"/>
    <w:rsid w:val="00A275F4"/>
    <w:rsid w:val="00E44B8F"/>
    <w:rsid w:val="00EE5F0F"/>
    <w:rsid w:val="00F00CD2"/>
    <w:rsid w:val="00F622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uiPriority="99" w:name="Normal Table"/>
    <w:lsdException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styleId="4">
    <w:name w:val="Placeholder Text"/>
    <w:basedOn w:val="2"/>
    <w:semiHidden/>
    <w:uiPriority w:val="99"/>
    <w:rPr>
      <w:color w:val="808080"/>
    </w:rPr>
  </w:style>
  <w:style w:type="paragraph" w:customStyle="1" w:styleId="5">
    <w:name w:val="7F78032B88594E32A3B39E62F7A4F8CD"/>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1128178FFB324015A2E6A0031D0C445D"/>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D8B0446147FB4CB9BDBC19E7612FA692"/>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2050"/>
    <customShpInfo spid="_x0000_s205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B0A67C-B8C2-484A-A094-B2EF22EEBEA1}">
  <ds:schemaRefs/>
</ds:datastoreItem>
</file>

<file path=docProps/app.xml><?xml version="1.0" encoding="utf-8"?>
<Properties xmlns="http://schemas.openxmlformats.org/officeDocument/2006/extended-properties" xmlns:vt="http://schemas.openxmlformats.org/officeDocument/2006/docPropsVTypes">
  <Template>团体标准</Template>
  <Company>PCMI</Company>
  <Pages>9</Pages>
  <Words>3342</Words>
  <Characters>3909</Characters>
  <Lines>37</Lines>
  <Paragraphs>10</Paragraphs>
  <TotalTime>1764</TotalTime>
  <ScaleCrop>false</ScaleCrop>
  <LinksUpToDate>false</LinksUpToDate>
  <CharactersWithSpaces>4062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2021-05-06T02:22:00Z</dcterms:created>
  <dc:creator>Administrator</dc:creator>
  <dc:description>&lt;config cover="true" show_menu="true" version="1.0.0" doctype="SDKXY"&gt;_x000d_
&lt;/config&gt;</dc:description>
  <cp:lastModifiedBy>Pluto</cp:lastModifiedBy>
  <cp:lastPrinted>2021-02-02T08:22:00Z</cp:lastPrinted>
  <dcterms:modified xsi:type="dcterms:W3CDTF">2023-04-04T02:47:26Z</dcterms:modified>
  <dc:title>团体标准</dc:title>
  <cp:revision>554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2052-11.1.0.14036</vt:lpwstr>
  </property>
  <property fmtid="{D5CDD505-2E9C-101B-9397-08002B2CF9AE}" pid="15" name="ICV">
    <vt:lpwstr>8899A918B9AD434EBEBB1B0615B2BD9A_12</vt:lpwstr>
  </property>
</Properties>
</file>