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9E7392">
      <w:pPr>
        <w:adjustRightInd w:val="0"/>
        <w:snapToGrid w:val="0"/>
        <w:spacing w:line="360" w:lineRule="auto"/>
        <w:jc w:val="center"/>
        <w:rPr>
          <w:rFonts w:ascii="黑体" w:hAnsi="宋体" w:eastAsia="黑体"/>
          <w:kern w:val="0"/>
          <w:sz w:val="32"/>
          <w:szCs w:val="32"/>
        </w:rPr>
      </w:pPr>
      <w:r>
        <w:rPr>
          <w:rFonts w:hint="eastAsia" w:ascii="黑体" w:hAnsi="宋体" w:eastAsia="黑体"/>
          <w:kern w:val="0"/>
          <w:sz w:val="32"/>
          <w:szCs w:val="32"/>
        </w:rPr>
        <w:t>《家具项目采购需求管理指南</w:t>
      </w:r>
      <w:r>
        <w:rPr>
          <w:rFonts w:hint="eastAsia" w:ascii="黑体" w:hAnsi="宋体" w:eastAsia="黑体"/>
          <w:kern w:val="0"/>
          <w:sz w:val="32"/>
          <w:szCs w:val="32"/>
          <w:lang w:val="en-US" w:eastAsia="zh-CN"/>
        </w:rPr>
        <w:t>(征求意见稿）</w:t>
      </w:r>
      <w:bookmarkStart w:id="11" w:name="_GoBack"/>
      <w:bookmarkEnd w:id="11"/>
      <w:r>
        <w:rPr>
          <w:rFonts w:hint="eastAsia" w:ascii="黑体" w:hAnsi="宋体" w:eastAsia="黑体"/>
          <w:kern w:val="0"/>
          <w:sz w:val="32"/>
          <w:szCs w:val="32"/>
        </w:rPr>
        <w:t>》团体标准</w:t>
      </w:r>
    </w:p>
    <w:p w14:paraId="2EC47C8F">
      <w:pPr>
        <w:adjustRightInd w:val="0"/>
        <w:snapToGrid w:val="0"/>
        <w:spacing w:line="360" w:lineRule="auto"/>
        <w:jc w:val="center"/>
      </w:pPr>
      <w:r>
        <w:rPr>
          <w:rFonts w:hint="eastAsia" w:ascii="黑体" w:hAnsi="宋体" w:eastAsia="黑体"/>
          <w:kern w:val="0"/>
          <w:sz w:val="32"/>
          <w:szCs w:val="32"/>
        </w:rPr>
        <w:t>编制说明</w:t>
      </w:r>
    </w:p>
    <w:p w14:paraId="43F49BFD">
      <w:pPr>
        <w:numPr>
          <w:ilvl w:val="0"/>
          <w:numId w:val="2"/>
        </w:numPr>
        <w:adjustRightInd w:val="0"/>
        <w:snapToGrid w:val="0"/>
        <w:spacing w:line="360" w:lineRule="auto"/>
        <w:ind w:left="425" w:leftChars="0" w:hanging="425" w:firstLineChars="0"/>
        <w:outlineLvl w:val="0"/>
        <w:rPr>
          <w:rFonts w:ascii="黑体" w:eastAsia="黑体"/>
          <w:sz w:val="28"/>
          <w:szCs w:val="28"/>
        </w:rPr>
      </w:pPr>
      <w:r>
        <w:rPr>
          <w:rFonts w:hint="eastAsia" w:ascii="黑体" w:eastAsia="黑体"/>
          <w:sz w:val="28"/>
          <w:szCs w:val="28"/>
        </w:rPr>
        <w:t>工作简况</w:t>
      </w:r>
    </w:p>
    <w:p w14:paraId="5859454C">
      <w:pPr>
        <w:numPr>
          <w:ilvl w:val="1"/>
          <w:numId w:val="2"/>
        </w:numPr>
        <w:adjustRightInd w:val="0"/>
        <w:snapToGrid w:val="0"/>
        <w:spacing w:line="360" w:lineRule="auto"/>
        <w:ind w:left="567" w:leftChars="0" w:hanging="567" w:firstLineChars="0"/>
        <w:outlineLvl w:val="1"/>
        <w:rPr>
          <w:rFonts w:ascii="黑体" w:eastAsia="黑体"/>
          <w:sz w:val="24"/>
        </w:rPr>
      </w:pPr>
      <w:r>
        <w:rPr>
          <w:rFonts w:hint="eastAsia" w:ascii="黑体" w:eastAsia="黑体"/>
          <w:sz w:val="24"/>
        </w:rPr>
        <w:t>任务来源</w:t>
      </w:r>
    </w:p>
    <w:p w14:paraId="31A3C8FF">
      <w:pPr>
        <w:adjustRightInd w:val="0"/>
        <w:snapToGrid w:val="0"/>
        <w:spacing w:before="156" w:beforeLines="50" w:after="156" w:afterLines="50" w:line="360" w:lineRule="auto"/>
        <w:ind w:firstLine="480" w:firstLineChars="200"/>
        <w:rPr>
          <w:sz w:val="24"/>
          <w:lang w:eastAsia="zh-Hans"/>
        </w:rPr>
      </w:pPr>
      <w:r>
        <w:rPr>
          <w:rFonts w:hint="eastAsia"/>
          <w:sz w:val="24"/>
          <w:lang w:eastAsia="zh-Hans"/>
        </w:rPr>
        <w:t>《政府采购 家具项目采购需求管理指南》（以下简称《指南》）作为全国首个与政府采购家具项目需求管理有关的团体标准，于2021年12月28日发布，自2022年2月1日起实施。该《指南》是浙江省政府采购家具项目实践经验形成的标准化文件，涵盖了七大家具品类。自实施以来，《指南》得到了财政部、浙江省财政厅、采购单位、集采机构、</w:t>
      </w:r>
      <w:r>
        <w:rPr>
          <w:rFonts w:hint="eastAsia"/>
          <w:sz w:val="24"/>
          <w:lang w:val="en-US" w:eastAsia="zh-CN"/>
        </w:rPr>
        <w:t>社会</w:t>
      </w:r>
      <w:r>
        <w:rPr>
          <w:rFonts w:hint="eastAsia"/>
          <w:sz w:val="24"/>
          <w:lang w:eastAsia="zh-Hans"/>
        </w:rPr>
        <w:t>代理机构和供应商等多方的广泛认可与大力支持，在政府采购家具项目的实施过程中发挥了积极作用。</w:t>
      </w:r>
    </w:p>
    <w:p w14:paraId="64D4445D">
      <w:pPr>
        <w:adjustRightInd w:val="0"/>
        <w:snapToGrid w:val="0"/>
        <w:spacing w:before="156" w:beforeLines="50" w:after="156" w:afterLines="50" w:line="360" w:lineRule="auto"/>
        <w:ind w:firstLine="480" w:firstLineChars="200"/>
        <w:rPr>
          <w:rFonts w:hint="eastAsia"/>
          <w:sz w:val="24"/>
          <w:lang w:eastAsia="zh-Hans"/>
        </w:rPr>
      </w:pPr>
      <w:r>
        <w:rPr>
          <w:rFonts w:hint="eastAsia"/>
          <w:sz w:val="24"/>
          <w:lang w:eastAsia="zh-Hans"/>
        </w:rPr>
        <w:t>近年来，政府采购领域的政策环境发生了深刻变革，从国家到地方，一系列重要政策举措相继出台，全面推动着政府采购市场的规范与发展。</w:t>
      </w:r>
    </w:p>
    <w:p w14:paraId="3BBD27D0">
      <w:pPr>
        <w:adjustRightInd w:val="0"/>
        <w:snapToGrid w:val="0"/>
        <w:spacing w:before="156" w:beforeLines="50" w:after="156" w:afterLines="50" w:line="360" w:lineRule="auto"/>
        <w:ind w:firstLine="480" w:firstLineChars="200"/>
        <w:rPr>
          <w:rFonts w:hint="eastAsia"/>
          <w:sz w:val="24"/>
          <w:lang w:eastAsia="zh-Hans"/>
        </w:rPr>
      </w:pPr>
      <w:r>
        <w:rPr>
          <w:rFonts w:hint="eastAsia"/>
          <w:sz w:val="24"/>
          <w:lang w:eastAsia="zh-Hans"/>
        </w:rPr>
        <w:t>在国家层面，2024年5月，国务院办公厅印发《关于创新完善体制机制推动招标投标市场规范健康发展的意见》，为招标投标市场的规范发展精准锚定了方向，注入了强劲动力。次月</w:t>
      </w:r>
      <w:r>
        <w:rPr>
          <w:rFonts w:hint="eastAsia"/>
          <w:sz w:val="24"/>
          <w:lang w:eastAsia="zh-CN"/>
        </w:rPr>
        <w:t>，</w:t>
      </w:r>
      <w:r>
        <w:rPr>
          <w:rFonts w:hint="eastAsia"/>
          <w:sz w:val="24"/>
          <w:lang w:eastAsia="zh-Hans"/>
        </w:rPr>
        <w:t>国务院颁布《公平竞争审查条例》，全力破除市场壁垒，促进市场公平竞争，进一步优化营商环境。与此同时，国务院办公厅印发《政府采购领域 “整顿市场秩序、建设法规体系、促进产业发展” 三年行动方案（2024—2026年）》，旨在通过三年的系统治理，全面整顿政府采购市场秩序，完善法规体系，助力产业高质量发展，构建起更加规范、有序、健康的政府采购生态。</w:t>
      </w:r>
    </w:p>
    <w:p w14:paraId="19BAB4D5">
      <w:pPr>
        <w:adjustRightInd w:val="0"/>
        <w:snapToGrid w:val="0"/>
        <w:spacing w:before="156" w:beforeLines="50" w:after="156" w:afterLines="50" w:line="360" w:lineRule="auto"/>
        <w:ind w:firstLine="480" w:firstLineChars="200"/>
        <w:rPr>
          <w:rFonts w:hint="eastAsia"/>
          <w:sz w:val="24"/>
          <w:lang w:eastAsia="zh-Hans"/>
        </w:rPr>
      </w:pPr>
      <w:r>
        <w:rPr>
          <w:rFonts w:hint="eastAsia"/>
          <w:sz w:val="24"/>
          <w:lang w:eastAsia="zh-Hans"/>
        </w:rPr>
        <w:t>在地方上，各地积极响应，配套政策如雨后春笋般纷纷落地。早在 2022 年 6 月，浙江省财政厅便发布《关于进一步加大政府采购支持中小企业力度助力扎实稳住经济的通知》，明确降低中小企业参与政府采购的门槛，为中小企业发展注入了“强心针”，有效激发了市场活力。2023年3月，浙江省财政厅基于政府采购相关法律、法规、规章及规范性文件，精心梳理形成《浙江省政府采购禁止行为清单指引（一）》，进一步规范了政府采购当事人行为，优化了政府采购营商环境，清晰划出了政府采购的“红线”。2024年1月，浙江省第十四届人民代表大会第二次会议通过《浙江省优化营商环境条例》，并于同年3月1日起正式施行，为优化营商环境提供了坚实的法律保障，进一步提升了浙江在政府采购领域的制度优势。</w:t>
      </w:r>
    </w:p>
    <w:p w14:paraId="6EF2791E">
      <w:pPr>
        <w:adjustRightInd w:val="0"/>
        <w:snapToGrid w:val="0"/>
        <w:spacing w:before="156" w:beforeLines="50" w:after="156" w:afterLines="50" w:line="360" w:lineRule="auto"/>
        <w:ind w:firstLine="480" w:firstLineChars="200"/>
        <w:rPr>
          <w:rFonts w:hint="eastAsia"/>
          <w:sz w:val="24"/>
          <w:lang w:eastAsia="zh-Hans"/>
        </w:rPr>
      </w:pPr>
      <w:r>
        <w:rPr>
          <w:rFonts w:hint="eastAsia"/>
          <w:sz w:val="24"/>
          <w:lang w:eastAsia="zh-Hans"/>
        </w:rPr>
        <w:t>除浙江之外，其他省份也纷纷发力。广东省</w:t>
      </w:r>
      <w:r>
        <w:rPr>
          <w:rFonts w:hint="eastAsia"/>
          <w:sz w:val="24"/>
          <w:lang w:val="en-US" w:eastAsia="zh-CN"/>
        </w:rPr>
        <w:t>财政厅</w:t>
      </w:r>
      <w:r>
        <w:rPr>
          <w:rFonts w:hint="eastAsia"/>
          <w:sz w:val="24"/>
          <w:lang w:eastAsia="zh-Hans"/>
        </w:rPr>
        <w:t>印发《政府采购常见问题清单》，聚焦政府采购中的常见问题，为规范采购行为提供了详细指引；山东省</w:t>
      </w:r>
      <w:r>
        <w:rPr>
          <w:rFonts w:hint="eastAsia"/>
          <w:sz w:val="24"/>
          <w:lang w:val="en-US" w:eastAsia="zh-CN"/>
        </w:rPr>
        <w:t>财政厅</w:t>
      </w:r>
      <w:r>
        <w:rPr>
          <w:rFonts w:hint="eastAsia"/>
          <w:sz w:val="24"/>
          <w:lang w:eastAsia="zh-Hans"/>
        </w:rPr>
        <w:t>制定并印发《山东省政府采购负面清单》，明确了政府采购中的禁止行为，为采购活动提供了清晰的行为准则；河北省财政厅、北京市财政局、天津市财政局联合印发《京津冀政府采购负面行为清单》，通过区域协同合作，进一步规范了京津冀地区的政府采购市场，促进了区域间政府采购市场的互联互通和协同发展。</w:t>
      </w:r>
    </w:p>
    <w:p w14:paraId="70669D49">
      <w:pPr>
        <w:pStyle w:val="13"/>
        <w:spacing w:line="360" w:lineRule="auto"/>
        <w:rPr>
          <w:rFonts w:hint="eastAsia" w:ascii="Times New Roman" w:hAnsi="Times New Roman" w:eastAsia="宋体" w:cs="Times New Roman"/>
          <w:kern w:val="2"/>
          <w:sz w:val="24"/>
          <w:szCs w:val="24"/>
          <w:lang w:val="en-US" w:eastAsia="zh-Hans" w:bidi="ar-SA"/>
        </w:rPr>
      </w:pPr>
      <w:r>
        <w:rPr>
          <w:rFonts w:hint="eastAsia" w:ascii="Times New Roman" w:hAnsi="Times New Roman" w:eastAsia="宋体" w:cs="Times New Roman"/>
          <w:kern w:val="2"/>
          <w:sz w:val="24"/>
          <w:szCs w:val="24"/>
          <w:lang w:val="en-US" w:eastAsia="zh-Hans" w:bidi="ar-SA"/>
        </w:rPr>
        <w:t>在家具行业标准领域，自 2022 年 1 月以来，家具相关标准经历了一系列重要更新。截至目前，已有GB/T 35607-2024《绿色产品评价 家具》、GB/T 3324-2024《木家具通用技术条件》、GB/T 3325-2024《金属家具通用技术条件》等38 项国家标准和行业标准完成了</w:t>
      </w:r>
      <w:r>
        <w:rPr>
          <w:rFonts w:hint="eastAsia" w:ascii="Times New Roman" w:hAnsi="Times New Roman" w:eastAsia="宋体" w:cs="Times New Roman"/>
          <w:kern w:val="2"/>
          <w:sz w:val="24"/>
          <w:szCs w:val="24"/>
          <w:lang w:val="en-US" w:eastAsia="zh-CN" w:bidi="ar-SA"/>
        </w:rPr>
        <w:t>制</w:t>
      </w:r>
      <w:r>
        <w:rPr>
          <w:rFonts w:hint="eastAsia" w:ascii="Times New Roman" w:hAnsi="Times New Roman" w:eastAsia="宋体" w:cs="Times New Roman"/>
          <w:kern w:val="2"/>
          <w:sz w:val="24"/>
          <w:szCs w:val="24"/>
          <w:lang w:val="en-US" w:eastAsia="zh-Hans" w:bidi="ar-SA"/>
        </w:rPr>
        <w:t>修订升级。</w:t>
      </w:r>
      <w:r>
        <w:rPr>
          <w:rFonts w:hint="eastAsia" w:ascii="Times New Roman" w:hAnsi="Times New Roman" w:eastAsia="宋体" w:cs="Times New Roman"/>
          <w:kern w:val="2"/>
          <w:sz w:val="24"/>
          <w:szCs w:val="24"/>
          <w:lang w:val="en-US" w:eastAsia="zh-CN" w:bidi="ar-SA"/>
        </w:rPr>
        <w:t>这些</w:t>
      </w:r>
      <w:r>
        <w:rPr>
          <w:rFonts w:hint="eastAsia" w:ascii="Times New Roman" w:hAnsi="Times New Roman" w:eastAsia="宋体" w:cs="Times New Roman"/>
          <w:kern w:val="2"/>
          <w:sz w:val="24"/>
          <w:szCs w:val="24"/>
          <w:lang w:val="en-US" w:eastAsia="zh-Hans" w:bidi="ar-SA"/>
        </w:rPr>
        <w:t>标准的更新</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
          <w:sz w:val="24"/>
          <w:szCs w:val="24"/>
          <w:lang w:val="en-US" w:eastAsia="zh-Hans" w:bidi="ar-SA"/>
        </w:rPr>
        <w:t>标志着家具行业在技术规范、质量把控以及环保性能等关键方面</w:t>
      </w:r>
      <w:r>
        <w:rPr>
          <w:rFonts w:hint="eastAsia" w:ascii="Times New Roman" w:hAnsi="Times New Roman" w:eastAsia="宋体" w:cs="Times New Roman"/>
          <w:kern w:val="2"/>
          <w:sz w:val="24"/>
          <w:szCs w:val="24"/>
          <w:lang w:val="en-US" w:eastAsia="zh-CN" w:bidi="ar-SA"/>
        </w:rPr>
        <w:t>提出了更高的要求</w:t>
      </w:r>
      <w:r>
        <w:rPr>
          <w:rFonts w:hint="eastAsia" w:ascii="Times New Roman" w:hAnsi="Times New Roman" w:eastAsia="宋体" w:cs="Times New Roman"/>
          <w:kern w:val="2"/>
          <w:sz w:val="24"/>
          <w:szCs w:val="24"/>
          <w:lang w:val="en-US" w:eastAsia="zh-Hans" w:bidi="ar-SA"/>
        </w:rPr>
        <w:t>，为家具制造业朝着高质量发展目标稳步迈进提供了坚实的标准化支撑。</w:t>
      </w:r>
      <w:r>
        <w:rPr>
          <w:rFonts w:hint="eastAsia" w:ascii="Times New Roman" w:hAnsi="Times New Roman" w:eastAsia="宋体" w:cs="Times New Roman"/>
          <w:kern w:val="2"/>
          <w:sz w:val="24"/>
          <w:szCs w:val="24"/>
          <w:lang w:val="en-US" w:eastAsia="zh-CN" w:bidi="ar-SA"/>
        </w:rPr>
        <w:t>同时，</w:t>
      </w:r>
      <w:r>
        <w:rPr>
          <w:rFonts w:hint="eastAsia" w:ascii="Times New Roman" w:hAnsi="Times New Roman" w:eastAsia="宋体" w:cs="Times New Roman"/>
          <w:kern w:val="2"/>
          <w:sz w:val="24"/>
          <w:szCs w:val="24"/>
          <w:lang w:val="en-US" w:eastAsia="zh-Hans" w:bidi="ar-SA"/>
        </w:rPr>
        <w:t>GB</w:t>
      </w:r>
      <w:r>
        <w:rPr>
          <w:rFonts w:hint="eastAsia" w:ascii="Times New Roman" w:hAnsi="Times New Roman" w:eastAsia="宋体" w:cs="Times New Roman"/>
          <w:kern w:val="2"/>
          <w:sz w:val="24"/>
          <w:szCs w:val="24"/>
          <w:lang w:val="en-US" w:eastAsia="zh-CN" w:bidi="ar-SA"/>
        </w:rPr>
        <w:t xml:space="preserve"> </w:t>
      </w:r>
      <w:r>
        <w:rPr>
          <w:rFonts w:hint="eastAsia" w:ascii="Times New Roman" w:hAnsi="Times New Roman" w:eastAsia="宋体" w:cs="Times New Roman"/>
          <w:kern w:val="2"/>
          <w:sz w:val="24"/>
          <w:szCs w:val="24"/>
          <w:lang w:val="en-US" w:eastAsia="zh-Hans" w:bidi="ar-SA"/>
        </w:rPr>
        <w:t>18584《家具中有害物质限量》、GB 28007《婴幼儿及儿童家具安全技术规范》、GB 28008《家具结构安全技术规范》等强制性标准的更新，更是对政府采购家具项目的履约能力提出了更</w:t>
      </w:r>
      <w:r>
        <w:rPr>
          <w:rFonts w:hint="eastAsia" w:ascii="Times New Roman" w:hAnsi="Times New Roman" w:eastAsia="宋体" w:cs="Times New Roman"/>
          <w:kern w:val="2"/>
          <w:sz w:val="24"/>
          <w:szCs w:val="24"/>
          <w:lang w:val="en-US" w:eastAsia="zh-CN" w:bidi="ar-SA"/>
        </w:rPr>
        <w:t>严格</w:t>
      </w:r>
      <w:r>
        <w:rPr>
          <w:rFonts w:hint="eastAsia" w:ascii="Times New Roman" w:hAnsi="Times New Roman" w:eastAsia="宋体" w:cs="Times New Roman"/>
          <w:kern w:val="2"/>
          <w:sz w:val="24"/>
          <w:szCs w:val="24"/>
          <w:lang w:val="en-US" w:eastAsia="zh-Hans" w:bidi="ar-SA"/>
        </w:rPr>
        <w:t>的要求。这些标准的实施，将促使政府采购家具项目在</w:t>
      </w:r>
      <w:r>
        <w:rPr>
          <w:rFonts w:hint="eastAsia" w:ascii="Times New Roman" w:hAnsi="Times New Roman" w:eastAsia="宋体" w:cs="Times New Roman"/>
          <w:kern w:val="2"/>
          <w:sz w:val="24"/>
          <w:szCs w:val="24"/>
          <w:lang w:val="en-US" w:eastAsia="zh-CN" w:bidi="ar-SA"/>
        </w:rPr>
        <w:t>履约</w:t>
      </w:r>
      <w:r>
        <w:rPr>
          <w:rFonts w:hint="eastAsia" w:ascii="Times New Roman" w:hAnsi="Times New Roman" w:eastAsia="宋体" w:cs="Times New Roman"/>
          <w:kern w:val="2"/>
          <w:sz w:val="24"/>
          <w:szCs w:val="24"/>
          <w:lang w:val="en-US" w:eastAsia="zh-Hans" w:bidi="ar-SA"/>
        </w:rPr>
        <w:t>验收等环节更加严谨细致，确保所采购的家具产品符合安全、环保等多方面的</w:t>
      </w:r>
      <w:r>
        <w:rPr>
          <w:rFonts w:hint="eastAsia" w:ascii="Times New Roman" w:hAnsi="Times New Roman" w:eastAsia="宋体" w:cs="Times New Roman"/>
          <w:kern w:val="2"/>
          <w:sz w:val="24"/>
          <w:szCs w:val="24"/>
          <w:lang w:val="en-US" w:eastAsia="zh-CN" w:bidi="ar-SA"/>
        </w:rPr>
        <w:t>要求</w:t>
      </w:r>
      <w:r>
        <w:rPr>
          <w:rFonts w:hint="eastAsia" w:ascii="Times New Roman" w:hAnsi="Times New Roman" w:eastAsia="宋体" w:cs="Times New Roman"/>
          <w:kern w:val="2"/>
          <w:sz w:val="24"/>
          <w:szCs w:val="24"/>
          <w:lang w:val="en-US" w:eastAsia="zh-Hans" w:bidi="ar-SA"/>
        </w:rPr>
        <w:t xml:space="preserve">。 </w:t>
      </w:r>
    </w:p>
    <w:p w14:paraId="70BFD8AE">
      <w:pPr>
        <w:adjustRightInd w:val="0"/>
        <w:snapToGrid w:val="0"/>
        <w:spacing w:before="156" w:beforeLines="50" w:after="156" w:afterLines="50" w:line="360" w:lineRule="auto"/>
        <w:ind w:firstLine="480" w:firstLineChars="200"/>
        <w:rPr>
          <w:rFonts w:hint="eastAsia"/>
          <w:sz w:val="24"/>
          <w:lang w:eastAsia="zh-CN"/>
        </w:rPr>
      </w:pPr>
      <w:r>
        <w:rPr>
          <w:rFonts w:hint="eastAsia"/>
          <w:sz w:val="24"/>
          <w:lang w:val="en-US" w:eastAsia="zh-CN"/>
        </w:rPr>
        <w:t>在此背景下，为深入贯彻落实政策要求，紧密跟随行业发展趋势</w:t>
      </w:r>
      <w:r>
        <w:rPr>
          <w:rFonts w:hint="eastAsia"/>
          <w:sz w:val="24"/>
          <w:lang w:eastAsia="zh-Hans"/>
        </w:rPr>
        <w:t>，进一步优化政府采购领域营商环境，维护政府采购公平公正的市场环境，浙江省政府采购联合会和浙江省家具行业协会决定启动《政府采购 家具项目采购需求管理指南》团体标准</w:t>
      </w:r>
      <w:r>
        <w:rPr>
          <w:rFonts w:hint="eastAsia"/>
          <w:sz w:val="24"/>
          <w:lang w:val="en-US" w:eastAsia="zh-CN"/>
        </w:rPr>
        <w:t>修订</w:t>
      </w:r>
      <w:r>
        <w:rPr>
          <w:rFonts w:hint="eastAsia"/>
          <w:sz w:val="24"/>
          <w:lang w:eastAsia="zh-Hans"/>
        </w:rPr>
        <w:t>工作，</w:t>
      </w:r>
      <w:r>
        <w:rPr>
          <w:rFonts w:hint="eastAsia"/>
          <w:sz w:val="24"/>
          <w:lang w:val="en-US" w:eastAsia="zh-CN"/>
        </w:rPr>
        <w:t>旨在</w:t>
      </w:r>
      <w:r>
        <w:rPr>
          <w:rFonts w:hint="eastAsia"/>
          <w:sz w:val="24"/>
          <w:lang w:eastAsia="zh-Hans"/>
        </w:rPr>
        <w:t>通过</w:t>
      </w:r>
      <w:r>
        <w:rPr>
          <w:rFonts w:hint="eastAsia"/>
          <w:sz w:val="24"/>
          <w:lang w:val="en-US" w:eastAsia="zh-CN"/>
        </w:rPr>
        <w:t>制定</w:t>
      </w:r>
      <w:r>
        <w:rPr>
          <w:rFonts w:hint="eastAsia"/>
          <w:sz w:val="24"/>
          <w:lang w:eastAsia="zh-Hans"/>
        </w:rPr>
        <w:t>统一的</w:t>
      </w:r>
      <w:r>
        <w:rPr>
          <w:rFonts w:hint="eastAsia"/>
          <w:sz w:val="24"/>
          <w:lang w:val="en-US" w:eastAsia="zh-CN"/>
        </w:rPr>
        <w:t>家具项目</w:t>
      </w:r>
      <w:r>
        <w:rPr>
          <w:rFonts w:hint="eastAsia"/>
          <w:sz w:val="24"/>
          <w:lang w:eastAsia="zh-Hans"/>
        </w:rPr>
        <w:t>采购需求</w:t>
      </w:r>
      <w:r>
        <w:rPr>
          <w:rFonts w:hint="eastAsia"/>
          <w:sz w:val="24"/>
          <w:lang w:val="en-US" w:eastAsia="zh-CN"/>
        </w:rPr>
        <w:t>管理指南</w:t>
      </w:r>
      <w:r>
        <w:rPr>
          <w:rFonts w:hint="eastAsia"/>
          <w:sz w:val="24"/>
          <w:lang w:eastAsia="zh-Hans"/>
        </w:rPr>
        <w:t>，为各级国家机关、事业单位、团体组织及国有企业提供规范指引，促进家具采购活动的公平竞争</w:t>
      </w:r>
      <w:r>
        <w:rPr>
          <w:rFonts w:hint="eastAsia"/>
          <w:sz w:val="24"/>
          <w:lang w:eastAsia="zh-CN"/>
        </w:rPr>
        <w:t>，</w:t>
      </w:r>
      <w:r>
        <w:rPr>
          <w:rFonts w:hint="eastAsia"/>
          <w:sz w:val="24"/>
          <w:lang w:eastAsia="zh-Hans"/>
        </w:rPr>
        <w:t>助力实现政府采购的规范化、高效化和可持续发展</w:t>
      </w:r>
      <w:r>
        <w:rPr>
          <w:rFonts w:hint="eastAsia"/>
          <w:sz w:val="24"/>
          <w:lang w:eastAsia="zh-CN"/>
        </w:rPr>
        <w:t>。</w:t>
      </w:r>
    </w:p>
    <w:p w14:paraId="55A4A1C9">
      <w:pPr>
        <w:numPr>
          <w:ilvl w:val="1"/>
          <w:numId w:val="2"/>
        </w:numPr>
        <w:adjustRightInd w:val="0"/>
        <w:snapToGrid w:val="0"/>
        <w:spacing w:line="360" w:lineRule="auto"/>
        <w:ind w:left="567" w:leftChars="0" w:hanging="567" w:firstLineChars="0"/>
        <w:outlineLvl w:val="1"/>
        <w:rPr>
          <w:rFonts w:hint="eastAsia" w:ascii="黑体" w:eastAsia="黑体"/>
          <w:sz w:val="24"/>
        </w:rPr>
      </w:pPr>
      <w:r>
        <w:rPr>
          <w:rFonts w:hint="eastAsia" w:ascii="黑体" w:eastAsia="黑体"/>
          <w:sz w:val="24"/>
        </w:rPr>
        <w:t>主要工作过程</w:t>
      </w:r>
    </w:p>
    <w:p w14:paraId="27DF73B0">
      <w:pPr>
        <w:numPr>
          <w:ilvl w:val="2"/>
          <w:numId w:val="2"/>
        </w:numPr>
        <w:adjustRightInd w:val="0"/>
        <w:snapToGrid w:val="0"/>
        <w:spacing w:line="360" w:lineRule="auto"/>
        <w:ind w:left="709" w:leftChars="0" w:hanging="709" w:firstLineChars="0"/>
        <w:outlineLvl w:val="2"/>
        <w:rPr>
          <w:rFonts w:ascii="黑体" w:hAnsi="黑体" w:eastAsia="黑体"/>
          <w:bCs/>
          <w:sz w:val="24"/>
          <w:szCs w:val="22"/>
        </w:rPr>
      </w:pPr>
      <w:bookmarkStart w:id="0" w:name="OLE_LINK2"/>
      <w:r>
        <w:rPr>
          <w:rFonts w:hint="eastAsia" w:ascii="黑体" w:hAnsi="黑体" w:eastAsia="黑体"/>
          <w:bCs/>
          <w:sz w:val="24"/>
          <w:szCs w:val="22"/>
        </w:rPr>
        <w:t>标准的下达及起草小组的成立</w:t>
      </w:r>
    </w:p>
    <w:p w14:paraId="0E55676F">
      <w:pPr>
        <w:adjustRightInd w:val="0"/>
        <w:snapToGrid w:val="0"/>
        <w:spacing w:before="156" w:beforeLines="50" w:after="156" w:afterLines="50" w:line="360" w:lineRule="auto"/>
        <w:ind w:firstLine="480" w:firstLineChars="200"/>
        <w:rPr>
          <w:rFonts w:hint="eastAsia"/>
          <w:sz w:val="24"/>
          <w:lang w:eastAsia="zh-Hans"/>
        </w:rPr>
      </w:pPr>
      <w:r>
        <w:rPr>
          <w:rFonts w:hint="eastAsia"/>
          <w:sz w:val="24"/>
          <w:lang w:eastAsia="zh-Hans"/>
        </w:rPr>
        <w:t>2024年4月29日，在浙江省财政厅的指导下，根据《团体标准管理规定》等相关规定，浙江省政府采购联合会和浙江省家具行业协会在浙江省政府采购中心召开立项评审会，启动T/ZJGPA 1—2021、T/ZFA 2—2021《政府采购 家具项目采购需求管理指南》团体标准</w:t>
      </w:r>
      <w:r>
        <w:rPr>
          <w:rFonts w:hint="eastAsia"/>
          <w:sz w:val="24"/>
          <w:lang w:eastAsia="zh-CN"/>
        </w:rPr>
        <w:t>的</w:t>
      </w:r>
      <w:r>
        <w:rPr>
          <w:rFonts w:hint="eastAsia"/>
          <w:sz w:val="24"/>
          <w:lang w:eastAsia="zh-Hans"/>
        </w:rPr>
        <w:t>修订工作。立项专家评审组对两项团体标准的立项材料进行了质询和论证，并提出了相应的指导意见。经专家组论证，一致同意《家具项目采购需求管理指南》团体标准通过立项评审。</w:t>
      </w:r>
    </w:p>
    <w:p w14:paraId="37E5F51B">
      <w:pPr>
        <w:pStyle w:val="13"/>
        <w:spacing w:line="360" w:lineRule="auto"/>
        <w:rPr>
          <w:rFonts w:hint="eastAsia" w:ascii="Times New Roman" w:hAnsi="Times New Roman" w:eastAsia="宋体" w:cs="Times New Roman"/>
          <w:kern w:val="2"/>
          <w:sz w:val="24"/>
          <w:szCs w:val="24"/>
          <w:lang w:val="en-US" w:eastAsia="zh-Hans" w:bidi="ar-SA"/>
        </w:rPr>
      </w:pPr>
      <w:r>
        <w:rPr>
          <w:rFonts w:hint="eastAsia" w:ascii="Times New Roman" w:hAnsi="Times New Roman" w:eastAsia="宋体" w:cs="Times New Roman"/>
          <w:kern w:val="2"/>
          <w:sz w:val="24"/>
          <w:szCs w:val="24"/>
          <w:lang w:val="en-US" w:eastAsia="zh-CN" w:bidi="ar-SA"/>
        </w:rPr>
        <w:t>2024年5月，浙江省政府采购联合会和浙江省家具行业协会牵头成立起草小组，由圣奥科技股份有限公司、杭州恒丰家具有限公司、浙江金鹭家具有限公司、杭州荣正家具有限公司、浙江惠美工贸有限公司、浙江华育家具实业有限公司、浙江荣华家具有限公司、永艺家具股份有限公司、科尔卡诺集团有限公司、大康控股集团有限公司、宁波八益集团有限公司、杭州万保安全科技有限公司、浙江麦辰家具股份有限公司、浙江华泰办公家具有限公司、浙江天和典尚实业集团有限公司、杭州明大古艺红木家具有限公司、杭州达文伯艺家具有限公司、浙江润大柯泓家具有限公司、浙江奥士智能家具有限公司、浙江云上实业有限公司、浙江森祥教学设备有限公司、浙江冠臣天赫智能家具有限公司、浙江美丽人家家居有限公司、浙江三正家具有限公司、浙江永生家具有限公司、浙江圣力家具制造有限公司等单位以及经验丰富的政府采购评审专家等人员组成。</w:t>
      </w:r>
    </w:p>
    <w:p w14:paraId="561DA40C">
      <w:pPr>
        <w:numPr>
          <w:ilvl w:val="2"/>
          <w:numId w:val="2"/>
        </w:numPr>
        <w:adjustRightInd w:val="0"/>
        <w:snapToGrid w:val="0"/>
        <w:spacing w:line="360" w:lineRule="auto"/>
        <w:ind w:left="709" w:leftChars="0" w:hanging="709" w:firstLineChars="0"/>
        <w:outlineLvl w:val="2"/>
        <w:rPr>
          <w:rFonts w:hint="default" w:ascii="黑体" w:hAnsi="黑体" w:eastAsia="黑体"/>
          <w:bCs/>
          <w:sz w:val="24"/>
          <w:szCs w:val="22"/>
          <w:lang w:val="en-US" w:eastAsia="zh-CN"/>
        </w:rPr>
      </w:pPr>
      <w:r>
        <w:rPr>
          <w:rFonts w:hint="eastAsia" w:ascii="黑体" w:hAnsi="黑体" w:eastAsia="黑体"/>
          <w:bCs/>
          <w:sz w:val="24"/>
          <w:szCs w:val="22"/>
          <w:lang w:val="en-US" w:eastAsia="zh-CN"/>
        </w:rPr>
        <w:t>起草阶段</w:t>
      </w:r>
    </w:p>
    <w:p w14:paraId="7E7EC749">
      <w:pPr>
        <w:pStyle w:val="13"/>
        <w:spacing w:line="360" w:lineRule="auto"/>
        <w:rPr>
          <w:rFonts w:hint="default" w:ascii="Times New Roman" w:hAnsi="Times New Roman" w:eastAsia="宋体" w:cs="Times New Roman"/>
          <w:kern w:val="2"/>
          <w:sz w:val="24"/>
          <w:szCs w:val="24"/>
          <w:lang w:val="en-US" w:eastAsia="zh-Hans" w:bidi="ar-SA"/>
        </w:rPr>
      </w:pPr>
      <w:r>
        <w:rPr>
          <w:rFonts w:hint="default" w:ascii="Times New Roman" w:hAnsi="Times New Roman" w:eastAsia="宋体" w:cs="Times New Roman"/>
          <w:kern w:val="2"/>
          <w:sz w:val="24"/>
          <w:szCs w:val="24"/>
          <w:lang w:val="en-US" w:eastAsia="zh-Hans" w:bidi="ar-SA"/>
        </w:rPr>
        <w:t>2024 年 5 月至 2025 年 1 月，起草小组成员分工明确、协同合作，有条不紊地推进标准</w:t>
      </w:r>
      <w:r>
        <w:rPr>
          <w:rFonts w:hint="eastAsia" w:ascii="Times New Roman" w:hAnsi="Times New Roman" w:eastAsia="宋体" w:cs="Times New Roman"/>
          <w:kern w:val="2"/>
          <w:sz w:val="24"/>
          <w:szCs w:val="24"/>
          <w:lang w:val="en-US" w:eastAsia="zh-CN" w:bidi="ar-SA"/>
        </w:rPr>
        <w:t>的</w:t>
      </w:r>
      <w:r>
        <w:rPr>
          <w:rFonts w:hint="default" w:ascii="Times New Roman" w:hAnsi="Times New Roman" w:eastAsia="宋体" w:cs="Times New Roman"/>
          <w:kern w:val="2"/>
          <w:sz w:val="24"/>
          <w:szCs w:val="24"/>
          <w:lang w:val="en-US" w:eastAsia="zh-Hans" w:bidi="ar-SA"/>
        </w:rPr>
        <w:t>修订工作。考虑到家具项目涉及的使用场景丰富多样，不同场景对家具的</w:t>
      </w:r>
      <w:r>
        <w:rPr>
          <w:rFonts w:hint="eastAsia" w:ascii="Times New Roman" w:hAnsi="Times New Roman" w:eastAsia="宋体" w:cs="Times New Roman"/>
          <w:kern w:val="2"/>
          <w:sz w:val="24"/>
          <w:szCs w:val="24"/>
          <w:lang w:val="en-US" w:eastAsia="zh-CN" w:bidi="ar-SA"/>
        </w:rPr>
        <w:t>采购需求</w:t>
      </w:r>
      <w:r>
        <w:rPr>
          <w:rFonts w:hint="default" w:ascii="Times New Roman" w:hAnsi="Times New Roman" w:eastAsia="宋体" w:cs="Times New Roman"/>
          <w:kern w:val="2"/>
          <w:sz w:val="24"/>
          <w:szCs w:val="24"/>
          <w:lang w:val="en-US" w:eastAsia="zh-Hans" w:bidi="ar-SA"/>
        </w:rPr>
        <w:t>差异较大，编制组根据</w:t>
      </w:r>
      <w:r>
        <w:rPr>
          <w:rFonts w:hint="eastAsia" w:ascii="Times New Roman" w:hAnsi="Times New Roman" w:eastAsia="宋体" w:cs="Times New Roman"/>
          <w:kern w:val="2"/>
          <w:sz w:val="24"/>
          <w:szCs w:val="24"/>
          <w:lang w:val="en-US" w:eastAsia="zh-CN" w:bidi="ar-SA"/>
        </w:rPr>
        <w:t>家具的使用场景</w:t>
      </w:r>
      <w:r>
        <w:rPr>
          <w:rFonts w:hint="default" w:ascii="Times New Roman" w:hAnsi="Times New Roman" w:eastAsia="宋体" w:cs="Times New Roman"/>
          <w:kern w:val="2"/>
          <w:sz w:val="24"/>
          <w:szCs w:val="24"/>
          <w:lang w:val="en-US" w:eastAsia="zh-Hans" w:bidi="ar-SA"/>
        </w:rPr>
        <w:t>划分为3个</w:t>
      </w:r>
      <w:r>
        <w:rPr>
          <w:rFonts w:hint="eastAsia" w:ascii="Times New Roman" w:hAnsi="Times New Roman" w:eastAsia="宋体" w:cs="Times New Roman"/>
          <w:kern w:val="2"/>
          <w:sz w:val="24"/>
          <w:szCs w:val="24"/>
          <w:lang w:val="en-US" w:eastAsia="zh-CN" w:bidi="ar-SA"/>
        </w:rPr>
        <w:t>编制工作</w:t>
      </w:r>
      <w:r>
        <w:rPr>
          <w:rFonts w:hint="default" w:ascii="Times New Roman" w:hAnsi="Times New Roman" w:eastAsia="宋体" w:cs="Times New Roman"/>
          <w:kern w:val="2"/>
          <w:sz w:val="24"/>
          <w:szCs w:val="24"/>
          <w:lang w:val="en-US" w:eastAsia="zh-Hans" w:bidi="ar-SA"/>
        </w:rPr>
        <w:t>小组。编制一组专注于办公家具和档案馆家具的技术参数制定，深入研究办公场所和档案馆的功能需求、空间布局以及使用人群特点，确保所制定的技术参数能够满足高效办公和档案存储管理的需求；二组负责医院家具和幼儿园家具技术参数的研究与确定，充分考虑医院环境的特殊性，如卫生清洁、医疗设备配套等要求，以及幼儿园家具对儿童安全、趣味性和教育功能的需求；三组承担着学校家具和图书馆家具技术参数的编制任务，结合学校教学活动的实际需求和图书馆的阅读、藏书功能，制定符合学生学习</w:t>
      </w:r>
      <w:r>
        <w:rPr>
          <w:rFonts w:hint="eastAsia" w:ascii="Times New Roman" w:hAnsi="Times New Roman" w:eastAsia="宋体" w:cs="Times New Roman"/>
          <w:kern w:val="2"/>
          <w:sz w:val="24"/>
          <w:szCs w:val="24"/>
          <w:lang w:val="en-US" w:eastAsia="zh-CN" w:bidi="ar-SA"/>
        </w:rPr>
        <w:t>、生活</w:t>
      </w:r>
      <w:r>
        <w:rPr>
          <w:rFonts w:hint="default" w:ascii="Times New Roman" w:hAnsi="Times New Roman" w:eastAsia="宋体" w:cs="Times New Roman"/>
          <w:kern w:val="2"/>
          <w:sz w:val="24"/>
          <w:szCs w:val="24"/>
          <w:lang w:val="en-US" w:eastAsia="zh-Hans" w:bidi="ar-SA"/>
        </w:rPr>
        <w:t>和图书管理需求的技术参数。</w:t>
      </w:r>
    </w:p>
    <w:p w14:paraId="0F6827C5">
      <w:pPr>
        <w:pStyle w:val="13"/>
        <w:spacing w:line="360" w:lineRule="auto"/>
        <w:rPr>
          <w:rFonts w:hint="default" w:ascii="Times New Roman" w:hAnsi="Times New Roman" w:eastAsia="宋体" w:cs="Times New Roman"/>
          <w:kern w:val="2"/>
          <w:sz w:val="24"/>
          <w:szCs w:val="24"/>
          <w:lang w:val="en-US" w:eastAsia="zh-Hans" w:bidi="ar-SA"/>
        </w:rPr>
      </w:pPr>
      <w:r>
        <w:rPr>
          <w:rFonts w:hint="default" w:ascii="Times New Roman" w:hAnsi="Times New Roman" w:eastAsia="宋体" w:cs="Times New Roman"/>
          <w:kern w:val="2"/>
          <w:sz w:val="24"/>
          <w:szCs w:val="24"/>
          <w:lang w:val="en-US" w:eastAsia="zh-Hans" w:bidi="ar-SA"/>
        </w:rPr>
        <w:t>在修订过程中，编制小组密切关注国家和地方的政策动态，安排专人负责政策信息的收集与整理，及时获取最新的政策信息，并组织小组内部学习研讨，确保标准的修订工作紧密符合政策导向。同时，广泛查阅相关国家、行业标准，深入研究各类标准在技术指标、质量要求、检测方法等方面的规定，为标准修订提供全面、坚实的依据。</w:t>
      </w:r>
    </w:p>
    <w:p w14:paraId="7A336F95">
      <w:pPr>
        <w:pStyle w:val="13"/>
        <w:spacing w:line="360" w:lineRule="auto"/>
        <w:rPr>
          <w:rFonts w:hint="default" w:ascii="Times New Roman" w:hAnsi="Times New Roman" w:eastAsia="宋体" w:cs="Times New Roman"/>
          <w:kern w:val="2"/>
          <w:sz w:val="24"/>
          <w:szCs w:val="24"/>
          <w:lang w:val="en-US" w:eastAsia="zh-Hans" w:bidi="ar-SA"/>
        </w:rPr>
      </w:pPr>
      <w:r>
        <w:rPr>
          <w:rFonts w:hint="default" w:ascii="Times New Roman" w:hAnsi="Times New Roman" w:eastAsia="宋体" w:cs="Times New Roman"/>
          <w:kern w:val="2"/>
          <w:sz w:val="24"/>
          <w:szCs w:val="24"/>
          <w:lang w:val="en-US" w:eastAsia="zh-Hans" w:bidi="ar-SA"/>
        </w:rPr>
        <w:t>为了使标准更贴合实际需求，编制小组积极开展实地调研工作。深入多家采购人单位，包括政府机关、学校、医院、图书馆、档案馆等，与采购负责人、使用人员进行面对面交流访谈。在交流过程中，详细了解他们在家具采购过程中的关注重点和难点，尤其是在家具的功能、质量、售后服务等方面的具体需求。此外，编制小组对大量政府采购家具项目的投诉案例进行系统分析</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
          <w:sz w:val="24"/>
          <w:szCs w:val="24"/>
          <w:lang w:val="en-US" w:eastAsia="zh-Hans" w:bidi="ar-SA"/>
        </w:rPr>
        <w:t>总结出常见的问题和争议焦点，如家具质量不达标、</w:t>
      </w:r>
      <w:r>
        <w:rPr>
          <w:rFonts w:hint="eastAsia" w:ascii="Times New Roman" w:hAnsi="Times New Roman" w:eastAsia="宋体" w:cs="Times New Roman"/>
          <w:kern w:val="2"/>
          <w:sz w:val="24"/>
          <w:szCs w:val="24"/>
          <w:lang w:val="en-US" w:eastAsia="zh-CN" w:bidi="ar-SA"/>
        </w:rPr>
        <w:t>采购文件存在</w:t>
      </w:r>
      <w:r>
        <w:rPr>
          <w:rFonts w:hint="default" w:ascii="Times New Roman" w:hAnsi="Times New Roman" w:eastAsia="宋体" w:cs="Times New Roman"/>
          <w:kern w:val="2"/>
          <w:sz w:val="24"/>
          <w:szCs w:val="24"/>
          <w:lang w:val="en-US" w:eastAsia="zh-Hans" w:bidi="ar-SA"/>
        </w:rPr>
        <w:t>不合理的歧视条款、售后服务不到位、履约验收不规范等问题。针对这些问题，在标准中制定</w:t>
      </w:r>
      <w:r>
        <w:rPr>
          <w:rFonts w:hint="eastAsia" w:ascii="Times New Roman" w:hAnsi="Times New Roman" w:eastAsia="宋体" w:cs="Times New Roman"/>
          <w:kern w:val="2"/>
          <w:sz w:val="24"/>
          <w:szCs w:val="24"/>
          <w:lang w:val="en-US" w:eastAsia="zh-CN" w:bidi="ar-SA"/>
        </w:rPr>
        <w:t>了</w:t>
      </w:r>
      <w:r>
        <w:rPr>
          <w:rFonts w:hint="default" w:ascii="Times New Roman" w:hAnsi="Times New Roman" w:eastAsia="宋体" w:cs="Times New Roman"/>
          <w:kern w:val="2"/>
          <w:sz w:val="24"/>
          <w:szCs w:val="24"/>
          <w:lang w:val="en-US" w:eastAsia="zh-Hans" w:bidi="ar-SA"/>
        </w:rPr>
        <w:t>相应的规范和要求，从源头上避免类似问题在未来的采购中再次发生。</w:t>
      </w:r>
    </w:p>
    <w:p w14:paraId="6B544592">
      <w:pPr>
        <w:pStyle w:val="13"/>
        <w:spacing w:line="360" w:lineRule="auto"/>
        <w:rPr>
          <w:rFonts w:hint="default" w:ascii="Times New Roman" w:hAnsi="Times New Roman" w:eastAsia="宋体" w:cs="Times New Roman"/>
          <w:kern w:val="2"/>
          <w:sz w:val="24"/>
          <w:szCs w:val="24"/>
          <w:lang w:val="en-US" w:eastAsia="zh-Hans" w:bidi="ar-SA"/>
        </w:rPr>
      </w:pPr>
      <w:r>
        <w:rPr>
          <w:rFonts w:hint="default" w:ascii="Times New Roman" w:hAnsi="Times New Roman" w:eastAsia="宋体" w:cs="Times New Roman"/>
          <w:kern w:val="2"/>
          <w:sz w:val="24"/>
          <w:szCs w:val="24"/>
          <w:lang w:val="en-US" w:eastAsia="zh-Hans" w:bidi="ar-SA"/>
        </w:rPr>
        <w:t>为确保工作进度和质量，及时解决修订过程中遇到的问题，编制组分别组织多次阶段性编制小组会议。每次会议上，各小组详细汇报前期资料收集和调研的成果，分享在编制过程中遇到的问题和难点，并共同探讨解决方案。针对标准工作组</w:t>
      </w:r>
      <w:r>
        <w:rPr>
          <w:rFonts w:hint="eastAsia" w:ascii="Times New Roman" w:hAnsi="Times New Roman" w:eastAsia="宋体" w:cs="Times New Roman"/>
          <w:kern w:val="2"/>
          <w:sz w:val="24"/>
          <w:szCs w:val="24"/>
          <w:lang w:val="en-US" w:eastAsia="zh-CN" w:bidi="ar-SA"/>
        </w:rPr>
        <w:t>讨论</w:t>
      </w:r>
      <w:r>
        <w:rPr>
          <w:rFonts w:hint="default" w:ascii="Times New Roman" w:hAnsi="Times New Roman" w:eastAsia="宋体" w:cs="Times New Roman"/>
          <w:kern w:val="2"/>
          <w:sz w:val="24"/>
          <w:szCs w:val="24"/>
          <w:lang w:val="en-US" w:eastAsia="zh-Hans" w:bidi="ar-SA"/>
        </w:rPr>
        <w:t>稿，小组成员充分发表意见，从不同专业角度进行审视和修改，对技术参数的合理性、条款的严谨性、语言的准确性等方面进行反复斟酌，经过多次修改完善，逐步提升标准的质量。</w:t>
      </w:r>
    </w:p>
    <w:bookmarkEnd w:id="0"/>
    <w:p w14:paraId="464D5304">
      <w:pPr>
        <w:numPr>
          <w:ilvl w:val="2"/>
          <w:numId w:val="2"/>
        </w:numPr>
        <w:adjustRightInd w:val="0"/>
        <w:snapToGrid w:val="0"/>
        <w:spacing w:line="360" w:lineRule="auto"/>
        <w:ind w:left="709" w:leftChars="0" w:hanging="709" w:firstLineChars="0"/>
        <w:outlineLvl w:val="2"/>
        <w:rPr>
          <w:rFonts w:hint="eastAsia" w:ascii="黑体" w:hAnsi="黑体" w:eastAsia="黑体"/>
          <w:bCs/>
          <w:sz w:val="24"/>
          <w:szCs w:val="22"/>
          <w:lang w:val="en-US" w:eastAsia="zh-CN"/>
        </w:rPr>
      </w:pPr>
      <w:r>
        <w:rPr>
          <w:rFonts w:hint="eastAsia" w:ascii="黑体" w:hAnsi="黑体" w:eastAsia="黑体"/>
          <w:bCs/>
          <w:sz w:val="24"/>
          <w:szCs w:val="22"/>
          <w:lang w:val="en-US" w:eastAsia="zh-CN"/>
        </w:rPr>
        <w:t>形成标准征求意见稿</w:t>
      </w:r>
    </w:p>
    <w:p w14:paraId="26339AF2">
      <w:pPr>
        <w:pStyle w:val="13"/>
        <w:spacing w:line="360" w:lineRule="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2025 年 1 月至 2025 年 2 月，编制小组在前期工作的基础上，进一步深入查阅资料，进行更广泛的调研与验证分析。在小组范围内广泛征求采购人代表、评审专家、代理机构代表、供应商代表等各方意见，通过组织座谈会、发放调查问卷等形式，充分收集不同利益相关方的观点和建议。</w:t>
      </w:r>
    </w:p>
    <w:p w14:paraId="4B805E47">
      <w:pPr>
        <w:pStyle w:val="13"/>
        <w:spacing w:line="360" w:lineRule="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对收集到的意见进行分类整理和深入分析，对于合理的意见和建议，积极吸收并融入标准内容中。经过反复修改和完善，于2025年2月形成标准征求意见稿，并面向社会公开征求意见。在公开征求意见阶段，通过在官方网站发布公告、在行业媒体平台宣传等方式，确保标准征求意见稿能够被广泛知晓，吸引更多</w:t>
      </w:r>
      <w:r>
        <w:rPr>
          <w:rFonts w:hint="eastAsia" w:ascii="Times New Roman" w:hAnsi="Times New Roman" w:eastAsia="宋体" w:cs="Times New Roman"/>
          <w:kern w:val="2"/>
          <w:sz w:val="24"/>
          <w:szCs w:val="24"/>
          <w:lang w:val="en-US" w:eastAsia="zh-CN" w:bidi="ar-SA"/>
        </w:rPr>
        <w:t>相关方</w:t>
      </w:r>
      <w:r>
        <w:rPr>
          <w:rFonts w:hint="default" w:ascii="Times New Roman" w:hAnsi="Times New Roman" w:eastAsia="宋体" w:cs="Times New Roman"/>
          <w:kern w:val="2"/>
          <w:sz w:val="24"/>
          <w:szCs w:val="24"/>
          <w:lang w:val="en-US" w:eastAsia="zh-CN" w:bidi="ar-SA"/>
        </w:rPr>
        <w:t>参与到标准的完善工作中来。</w:t>
      </w:r>
    </w:p>
    <w:p w14:paraId="15FE84DE">
      <w:pPr>
        <w:pStyle w:val="13"/>
        <w:spacing w:line="360" w:lineRule="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w:t>
      </w:r>
    </w:p>
    <w:p w14:paraId="0B369AA2">
      <w:pPr>
        <w:pStyle w:val="13"/>
        <w:spacing w:line="360" w:lineRule="auto"/>
        <w:rPr>
          <w:rFonts w:hint="eastAsia" w:ascii="黑体" w:hAnsi="黑体" w:eastAsia="黑体"/>
          <w:bCs/>
          <w:color w:val="FF0000"/>
          <w:sz w:val="24"/>
          <w:szCs w:val="22"/>
        </w:rPr>
      </w:pPr>
    </w:p>
    <w:p w14:paraId="7150F72A">
      <w:pPr>
        <w:numPr>
          <w:ilvl w:val="2"/>
          <w:numId w:val="2"/>
        </w:numPr>
        <w:adjustRightInd w:val="0"/>
        <w:snapToGrid w:val="0"/>
        <w:spacing w:line="360" w:lineRule="auto"/>
        <w:ind w:left="709" w:leftChars="0" w:hanging="709" w:firstLineChars="0"/>
        <w:outlineLvl w:val="2"/>
        <w:rPr>
          <w:rFonts w:hint="default" w:ascii="黑体" w:hAnsi="黑体" w:eastAsia="黑体"/>
          <w:bCs/>
          <w:sz w:val="24"/>
          <w:szCs w:val="22"/>
          <w:lang w:val="en-US" w:eastAsia="zh-CN"/>
        </w:rPr>
      </w:pPr>
      <w:r>
        <w:rPr>
          <w:rFonts w:hint="eastAsia" w:ascii="黑体" w:hAnsi="黑体" w:eastAsia="黑体"/>
          <w:bCs/>
          <w:sz w:val="24"/>
          <w:szCs w:val="22"/>
          <w:lang w:val="en-US" w:eastAsia="zh-CN"/>
        </w:rPr>
        <w:t>送审/报批阶段</w:t>
      </w:r>
    </w:p>
    <w:p w14:paraId="09418A9E">
      <w:pPr>
        <w:pStyle w:val="13"/>
        <w:spacing w:line="360" w:lineRule="auto"/>
        <w:ind w:firstLine="420"/>
        <w:rPr>
          <w:rFonts w:hint="default"/>
          <w:color w:val="FF0000"/>
          <w:lang w:val="en-US" w:eastAsia="zh-CN"/>
        </w:rPr>
      </w:pPr>
      <w:r>
        <w:rPr>
          <w:rFonts w:hint="eastAsia"/>
          <w:color w:val="FF0000"/>
          <w:lang w:val="en-US" w:eastAsia="zh-CN"/>
        </w:rPr>
        <w:t>……</w:t>
      </w:r>
    </w:p>
    <w:p w14:paraId="35C35750">
      <w:pPr>
        <w:numPr>
          <w:ilvl w:val="0"/>
          <w:numId w:val="2"/>
        </w:numPr>
        <w:adjustRightInd w:val="0"/>
        <w:snapToGrid w:val="0"/>
        <w:spacing w:line="360" w:lineRule="auto"/>
        <w:ind w:left="425" w:leftChars="0" w:hanging="425" w:firstLineChars="0"/>
        <w:outlineLvl w:val="0"/>
        <w:rPr>
          <w:rFonts w:hint="eastAsia" w:ascii="黑体" w:eastAsia="黑体"/>
          <w:sz w:val="28"/>
          <w:szCs w:val="28"/>
        </w:rPr>
      </w:pPr>
      <w:r>
        <w:rPr>
          <w:rFonts w:hint="eastAsia" w:ascii="黑体" w:eastAsia="黑体"/>
          <w:sz w:val="28"/>
          <w:szCs w:val="28"/>
        </w:rPr>
        <w:t>标准编制原则</w:t>
      </w:r>
    </w:p>
    <w:p w14:paraId="39DE04CF">
      <w:pPr>
        <w:adjustRightInd w:val="0"/>
        <w:snapToGrid w:val="0"/>
        <w:spacing w:before="156" w:beforeLines="50" w:after="156" w:afterLines="50" w:line="360" w:lineRule="auto"/>
        <w:ind w:firstLine="480" w:firstLineChars="200"/>
        <w:rPr>
          <w:rFonts w:hint="eastAsia"/>
          <w:sz w:val="24"/>
          <w:lang w:val="en-US" w:eastAsia="zh-CN"/>
        </w:rPr>
      </w:pPr>
      <w:r>
        <w:rPr>
          <w:rFonts w:hint="eastAsia"/>
          <w:sz w:val="24"/>
          <w:lang w:val="en-US" w:eastAsia="zh-CN"/>
        </w:rPr>
        <w:t>《家具项目采购需求管理指南》团体标准依据《中华人民共和国政府采购法》《政府采购需求管理办法》《深化政府采购制度改革方案》《政府采购货物和服务招标投标管理办法》《财政部关于促进政府采购公平竞争优化营商环境的通知》、浙江省财政厅《关于进一步加大政府采购支持中小企业力度助力扎实稳住经济的通知》《浙江省政府采购禁止行为清单指引（一）》和《浙江省优化营商环境条例》等相关文件进行修订。</w:t>
      </w:r>
    </w:p>
    <w:p w14:paraId="6B0B97B9">
      <w:pPr>
        <w:adjustRightInd w:val="0"/>
        <w:snapToGrid w:val="0"/>
        <w:spacing w:before="156" w:beforeLines="50" w:after="156" w:afterLines="50" w:line="360" w:lineRule="auto"/>
        <w:ind w:firstLine="480" w:firstLineChars="200"/>
        <w:rPr>
          <w:rFonts w:hint="eastAsia"/>
          <w:sz w:val="24"/>
          <w:lang w:val="en-US" w:eastAsia="zh-CN"/>
        </w:rPr>
      </w:pPr>
      <w:r>
        <w:rPr>
          <w:rFonts w:hint="eastAsia"/>
          <w:sz w:val="24"/>
          <w:lang w:val="en-US" w:eastAsia="zh-CN"/>
        </w:rPr>
        <w:t>在编制过程中，严格遵循 GB/T 1.1 - 2020《标准化工作导则 第 1 部分：标准的结构和编写》、GB/T 20001.7 - 2017《标准编写规则　第 7 部分：指南标准》的要求，确保标准的规范性、科学性和严谨性。</w:t>
      </w:r>
    </w:p>
    <w:p w14:paraId="5FC6D633">
      <w:pPr>
        <w:adjustRightInd w:val="0"/>
        <w:snapToGrid w:val="0"/>
        <w:spacing w:before="156" w:beforeLines="50" w:after="156" w:afterLines="50" w:line="360" w:lineRule="auto"/>
        <w:ind w:firstLine="480" w:firstLineChars="200"/>
        <w:rPr>
          <w:rFonts w:hint="eastAsia"/>
          <w:sz w:val="24"/>
          <w:lang w:val="en-US" w:eastAsia="zh-CN"/>
        </w:rPr>
      </w:pPr>
      <w:r>
        <w:rPr>
          <w:rFonts w:hint="eastAsia"/>
          <w:sz w:val="24"/>
          <w:lang w:val="en-US" w:eastAsia="zh-CN"/>
        </w:rPr>
        <w:t>标准修订工作围绕科学性、协调性、适用性、先进性 4 个原则展开，旨在全面规范家具项目采购需求管理活动，提高政府采购的科学性、规范性和透明度，确保采购需求合理、合规、可行，促进家具行业的健康、可持续发展。</w:t>
      </w:r>
    </w:p>
    <w:p w14:paraId="119B5859">
      <w:pPr>
        <w:numPr>
          <w:ilvl w:val="1"/>
          <w:numId w:val="2"/>
        </w:numPr>
        <w:adjustRightInd w:val="0"/>
        <w:snapToGrid w:val="0"/>
        <w:spacing w:line="360" w:lineRule="auto"/>
        <w:ind w:left="567" w:leftChars="0" w:hanging="567" w:firstLineChars="0"/>
        <w:outlineLvl w:val="2"/>
        <w:rPr>
          <w:rFonts w:hint="eastAsia"/>
          <w:sz w:val="24"/>
          <w:lang w:val="en-US" w:eastAsia="zh-CN"/>
        </w:rPr>
      </w:pPr>
      <w:r>
        <w:rPr>
          <w:rFonts w:hint="eastAsia" w:ascii="黑体" w:hAnsi="黑体" w:eastAsia="黑体"/>
          <w:bCs/>
          <w:sz w:val="24"/>
          <w:szCs w:val="22"/>
          <w:lang w:val="en-US" w:eastAsia="zh-CN"/>
        </w:rPr>
        <w:t>科学性</w:t>
      </w:r>
    </w:p>
    <w:p w14:paraId="23AE2CA7">
      <w:pPr>
        <w:adjustRightInd w:val="0"/>
        <w:snapToGrid w:val="0"/>
        <w:spacing w:before="156" w:beforeLines="50" w:after="156" w:afterLines="50" w:line="360" w:lineRule="auto"/>
        <w:ind w:firstLine="480" w:firstLineChars="200"/>
        <w:rPr>
          <w:rFonts w:hint="eastAsia"/>
          <w:sz w:val="24"/>
          <w:lang w:val="en-US" w:eastAsia="zh-CN"/>
        </w:rPr>
      </w:pPr>
      <w:r>
        <w:rPr>
          <w:rFonts w:hint="eastAsia"/>
          <w:sz w:val="24"/>
          <w:lang w:val="en-US" w:eastAsia="zh-CN"/>
        </w:rPr>
        <w:t>本标准的修订重点关注近几年家具行业相关国家标准、行业标准，以及政府采购政策、招投标政策的变化。起草小组广泛收集相关法律法规、标准、指南和有关资料，对收集到的信息进行分类整理和深入分析。结合实地调研获得的一手数据和专家意见，运用科学的研究方法，综合考虑各方面因素，科学确定标准的内容框架。</w:t>
      </w:r>
    </w:p>
    <w:p w14:paraId="23F32B72">
      <w:pPr>
        <w:adjustRightInd w:val="0"/>
        <w:snapToGrid w:val="0"/>
        <w:spacing w:before="156" w:beforeLines="50" w:after="156" w:afterLines="50" w:line="360" w:lineRule="auto"/>
        <w:ind w:firstLine="480" w:firstLineChars="200"/>
        <w:rPr>
          <w:rFonts w:hint="eastAsia"/>
          <w:sz w:val="24"/>
          <w:lang w:val="en-US" w:eastAsia="zh-CN"/>
        </w:rPr>
      </w:pPr>
      <w:r>
        <w:rPr>
          <w:rFonts w:hint="eastAsia"/>
          <w:sz w:val="24"/>
          <w:lang w:val="en-US" w:eastAsia="zh-CN"/>
        </w:rPr>
        <w:t>在确定具体内容时，对各项技术参数、质量要求等进行详细说明和论证。例如，在制定家具产品质量评价标准及技术性能参数时，参考了最新的家具行业标准和实际市场调研数据，充分考虑不同类型家具的使用场景和功能需求，使标准能够准确反映家具产品的质量水平，为采购人和供应商提供可靠的参考依据，确保标准的科学性和严谨性。</w:t>
      </w:r>
    </w:p>
    <w:p w14:paraId="73E2A017">
      <w:pPr>
        <w:numPr>
          <w:ilvl w:val="1"/>
          <w:numId w:val="2"/>
        </w:numPr>
        <w:adjustRightInd w:val="0"/>
        <w:snapToGrid w:val="0"/>
        <w:spacing w:line="360" w:lineRule="auto"/>
        <w:ind w:left="567" w:leftChars="0" w:hanging="567" w:firstLineChars="0"/>
        <w:outlineLvl w:val="2"/>
        <w:rPr>
          <w:rFonts w:hint="eastAsia"/>
          <w:sz w:val="24"/>
          <w:lang w:val="en-US" w:eastAsia="zh-CN"/>
        </w:rPr>
      </w:pPr>
      <w:r>
        <w:rPr>
          <w:rFonts w:hint="eastAsia" w:ascii="黑体" w:hAnsi="黑体" w:eastAsia="黑体"/>
          <w:bCs/>
          <w:sz w:val="24"/>
          <w:szCs w:val="22"/>
          <w:lang w:val="en-US" w:eastAsia="zh-CN"/>
        </w:rPr>
        <w:t>协调性</w:t>
      </w:r>
    </w:p>
    <w:p w14:paraId="553AE04E">
      <w:pPr>
        <w:adjustRightInd w:val="0"/>
        <w:snapToGrid w:val="0"/>
        <w:spacing w:before="156" w:beforeLines="50" w:after="156" w:afterLines="50" w:line="360" w:lineRule="auto"/>
        <w:ind w:firstLine="480" w:firstLineChars="200"/>
        <w:rPr>
          <w:rFonts w:hint="eastAsia"/>
          <w:sz w:val="24"/>
          <w:lang w:val="en-US" w:eastAsia="zh-CN"/>
        </w:rPr>
      </w:pPr>
      <w:r>
        <w:rPr>
          <w:rFonts w:hint="eastAsia"/>
          <w:sz w:val="24"/>
          <w:lang w:val="en-US" w:eastAsia="zh-CN"/>
        </w:rPr>
        <w:t>本标准与我国家具行业的国标、行标，以及政府采购等有关法律法规协调一致。在编制过程中，起草小组对相关标准和法律法规进行全面梳理，绘制了详细的标准法规关系图，明确各项标准和法规之间的关联和适用范围。在引用家具行业标准时，严格按照标准的适用范围和要求进行引用，对引用标准的版本、条款等进行仔细核对，保证标准在技术指标、检测方法等方面的一致性。</w:t>
      </w:r>
    </w:p>
    <w:p w14:paraId="02EBEEF4">
      <w:pPr>
        <w:adjustRightInd w:val="0"/>
        <w:snapToGrid w:val="0"/>
        <w:spacing w:before="156" w:beforeLines="50" w:after="156" w:afterLines="50" w:line="360" w:lineRule="auto"/>
        <w:ind w:firstLine="480" w:firstLineChars="200"/>
        <w:rPr>
          <w:rFonts w:hint="eastAsia"/>
          <w:sz w:val="24"/>
          <w:lang w:val="en-US" w:eastAsia="zh-CN"/>
        </w:rPr>
      </w:pPr>
      <w:r>
        <w:rPr>
          <w:rFonts w:hint="eastAsia"/>
          <w:sz w:val="24"/>
          <w:lang w:val="en-US" w:eastAsia="zh-CN"/>
        </w:rPr>
        <w:t>同时，遵循政府采购法律法规的规定，明确采购需求管理的程序和要求。例如，在采购流程的规定上，严格按照《中华人民共和国政府采购法》及其实施条例的要求，规范采购方式的选择、采购文件的编制、采购评审的组织等环节，确保政府采购活动合法合规进行。在涉及到环保、安全等方面的要求时，与国家相关法律法规和强制性标准保持高度一致，如在家具中有害物质限量方面，严格执行 GB18584 - 2024《家具中有害物质限量》等标准，保障消费者的健康和安全。</w:t>
      </w:r>
    </w:p>
    <w:p w14:paraId="38CD0E1D">
      <w:pPr>
        <w:numPr>
          <w:ilvl w:val="1"/>
          <w:numId w:val="2"/>
        </w:numPr>
        <w:adjustRightInd w:val="0"/>
        <w:snapToGrid w:val="0"/>
        <w:spacing w:line="360" w:lineRule="auto"/>
        <w:ind w:left="567" w:leftChars="0" w:hanging="567" w:firstLineChars="0"/>
        <w:outlineLvl w:val="2"/>
        <w:rPr>
          <w:rFonts w:hint="eastAsia"/>
          <w:sz w:val="24"/>
          <w:lang w:val="en-US" w:eastAsia="zh-CN"/>
        </w:rPr>
      </w:pPr>
      <w:r>
        <w:rPr>
          <w:rFonts w:hint="eastAsia" w:ascii="黑体" w:hAnsi="黑体" w:eastAsia="黑体"/>
          <w:bCs/>
          <w:sz w:val="24"/>
          <w:szCs w:val="22"/>
          <w:lang w:val="en-US" w:eastAsia="zh-CN"/>
        </w:rPr>
        <w:t>适用性</w:t>
      </w:r>
    </w:p>
    <w:p w14:paraId="36BBC572">
      <w:pPr>
        <w:adjustRightInd w:val="0"/>
        <w:snapToGrid w:val="0"/>
        <w:spacing w:before="156" w:beforeLines="50" w:after="156" w:afterLines="50" w:line="360" w:lineRule="auto"/>
        <w:ind w:firstLine="480" w:firstLineChars="200"/>
        <w:rPr>
          <w:rFonts w:hint="eastAsia"/>
          <w:sz w:val="24"/>
          <w:lang w:val="en-US" w:eastAsia="zh-CN"/>
        </w:rPr>
      </w:pPr>
      <w:r>
        <w:rPr>
          <w:rFonts w:hint="eastAsia"/>
          <w:sz w:val="24"/>
          <w:lang w:val="en-US" w:eastAsia="zh-CN"/>
        </w:rPr>
        <w:t>编制小组对所编写内容与相关家具成品及原材料相关标准进行全面参考对照，结合我国国情和家具行业现状进行深入研究。组织开展了多轮行业调研，涵盖家具生产企业、经销商、采购单位等多个环节，了解我国家具生产企业的实际生产能力、技术水平以及市场需求情况。通过对调研数据的统计分析和案例研究，确保标准要求能够有效适用于我国现有国情及家具行业现状。</w:t>
      </w:r>
    </w:p>
    <w:p w14:paraId="45574BF5">
      <w:pPr>
        <w:adjustRightInd w:val="0"/>
        <w:snapToGrid w:val="0"/>
        <w:spacing w:before="156" w:beforeLines="50" w:after="156" w:afterLines="50" w:line="360" w:lineRule="auto"/>
        <w:ind w:firstLine="480" w:firstLineChars="200"/>
        <w:rPr>
          <w:rFonts w:hint="eastAsia"/>
          <w:sz w:val="24"/>
          <w:lang w:val="en-US" w:eastAsia="zh-CN"/>
        </w:rPr>
      </w:pPr>
      <w:r>
        <w:rPr>
          <w:rFonts w:hint="eastAsia"/>
          <w:sz w:val="24"/>
          <w:lang w:val="en-US" w:eastAsia="zh-CN"/>
        </w:rPr>
        <w:t>针对我国不同地区家具行业发展不平衡的情况，在标准中设置了具有一定灵活性的条款。例如，在技术参数的规定上，允许在满足基本要求的前提下，根据不同地区的实际情况进行适当调整，对于经济发达地区和对家具品质要求较高的采购项目，可以采用高性能配置技术要求；对于经济相对落后地区或预算有限的采购项目，在保证质量和安全的基础上，可以采用标准配置技术要求，以适应不同地区的采购需求。同时，在标准的语言表述上，力求简洁明了、通俗易懂，便于不同文化层次和专业背景的人员理解和执行。</w:t>
      </w:r>
    </w:p>
    <w:p w14:paraId="15297439">
      <w:pPr>
        <w:numPr>
          <w:ilvl w:val="1"/>
          <w:numId w:val="2"/>
        </w:numPr>
        <w:adjustRightInd w:val="0"/>
        <w:snapToGrid w:val="0"/>
        <w:spacing w:line="360" w:lineRule="auto"/>
        <w:ind w:left="567" w:leftChars="0" w:hanging="567" w:firstLineChars="0"/>
        <w:outlineLvl w:val="2"/>
        <w:rPr>
          <w:rFonts w:hint="eastAsia"/>
          <w:sz w:val="24"/>
          <w:lang w:val="en-US" w:eastAsia="zh-CN"/>
        </w:rPr>
      </w:pPr>
      <w:r>
        <w:rPr>
          <w:rFonts w:hint="eastAsia" w:ascii="黑体" w:hAnsi="黑体" w:eastAsia="黑体"/>
          <w:bCs/>
          <w:sz w:val="24"/>
          <w:szCs w:val="22"/>
          <w:lang w:val="en-US" w:eastAsia="zh-CN"/>
        </w:rPr>
        <w:t>先进性</w:t>
      </w:r>
    </w:p>
    <w:p w14:paraId="64D4BE60">
      <w:pPr>
        <w:adjustRightInd w:val="0"/>
        <w:snapToGrid w:val="0"/>
        <w:spacing w:before="156" w:beforeLines="50" w:after="156" w:afterLines="50" w:line="360" w:lineRule="auto"/>
        <w:ind w:firstLine="480" w:firstLineChars="200"/>
        <w:rPr>
          <w:rFonts w:hint="eastAsia"/>
          <w:sz w:val="24"/>
          <w:lang w:val="en-US" w:eastAsia="zh-CN"/>
        </w:rPr>
      </w:pPr>
      <w:r>
        <w:rPr>
          <w:rFonts w:hint="eastAsia"/>
          <w:sz w:val="24"/>
          <w:lang w:val="en-US" w:eastAsia="zh-CN"/>
        </w:rPr>
        <w:t>本标准的内容充分考虑现阶段家具行业的发展现状，引入最新的环保标准，鼓励企业采用先进的生产工艺和材料，提高家具产品的质量和环保性能。</w:t>
      </w:r>
    </w:p>
    <w:p w14:paraId="342E3598">
      <w:pPr>
        <w:adjustRightInd w:val="0"/>
        <w:snapToGrid w:val="0"/>
        <w:spacing w:before="156" w:beforeLines="50" w:after="156" w:afterLines="50" w:line="360" w:lineRule="auto"/>
        <w:ind w:firstLine="480" w:firstLineChars="200"/>
        <w:rPr>
          <w:rFonts w:hint="eastAsia"/>
          <w:sz w:val="24"/>
          <w:lang w:val="en-US" w:eastAsia="zh-CN"/>
        </w:rPr>
      </w:pPr>
      <w:r>
        <w:rPr>
          <w:rFonts w:hint="eastAsia"/>
          <w:sz w:val="24"/>
          <w:lang w:val="en-US" w:eastAsia="zh-CN"/>
        </w:rPr>
        <w:t>在风险控制措施方面，建立完善的风险评估和应对机制。在采购实施计划方面，优化采购流程，提高采购效率，降低采购成本。通过这些先进理念和方法的应用，提升标准的整体水平，指导采购人科学编制采购需求，优化采购实施计划，防范采购风险，提升资金使用效益。</w:t>
      </w:r>
    </w:p>
    <w:p w14:paraId="4CC21068">
      <w:pPr>
        <w:numPr>
          <w:ilvl w:val="0"/>
          <w:numId w:val="2"/>
        </w:numPr>
        <w:adjustRightInd w:val="0"/>
        <w:snapToGrid w:val="0"/>
        <w:spacing w:line="360" w:lineRule="auto"/>
        <w:ind w:left="425" w:leftChars="0" w:hanging="425" w:firstLineChars="0"/>
        <w:outlineLvl w:val="0"/>
        <w:rPr>
          <w:rFonts w:hint="eastAsia" w:ascii="黑体" w:eastAsia="黑体"/>
          <w:sz w:val="28"/>
          <w:szCs w:val="28"/>
        </w:rPr>
      </w:pPr>
      <w:bookmarkStart w:id="1" w:name="_Hlk190764890"/>
      <w:r>
        <w:rPr>
          <w:rFonts w:hint="eastAsia" w:ascii="黑体" w:eastAsia="黑体"/>
          <w:sz w:val="28"/>
          <w:szCs w:val="28"/>
        </w:rPr>
        <w:t>主要内容</w:t>
      </w:r>
      <w:bookmarkEnd w:id="1"/>
      <w:r>
        <w:rPr>
          <w:rFonts w:hint="eastAsia" w:ascii="黑体" w:eastAsia="黑体"/>
          <w:sz w:val="28"/>
          <w:szCs w:val="28"/>
        </w:rPr>
        <w:t>及其确定依据（包括修订前后技术内容的对比）</w:t>
      </w:r>
    </w:p>
    <w:p w14:paraId="3D921EED">
      <w:pPr>
        <w:numPr>
          <w:ilvl w:val="1"/>
          <w:numId w:val="2"/>
        </w:numPr>
        <w:adjustRightInd w:val="0"/>
        <w:snapToGrid w:val="0"/>
        <w:spacing w:line="360" w:lineRule="auto"/>
        <w:ind w:left="567" w:leftChars="0" w:hanging="567" w:firstLineChars="0"/>
        <w:outlineLvl w:val="2"/>
        <w:rPr>
          <w:rFonts w:hint="eastAsia" w:ascii="黑体" w:hAnsi="黑体" w:eastAsia="黑体"/>
          <w:bCs/>
          <w:sz w:val="24"/>
          <w:szCs w:val="22"/>
          <w:lang w:val="en-US" w:eastAsia="zh-CN"/>
        </w:rPr>
      </w:pPr>
      <w:r>
        <w:rPr>
          <w:rFonts w:hint="eastAsia" w:ascii="黑体" w:hAnsi="黑体" w:eastAsia="黑体"/>
          <w:bCs/>
          <w:sz w:val="24"/>
          <w:szCs w:val="22"/>
          <w:lang w:val="en-US" w:eastAsia="zh-CN"/>
        </w:rPr>
        <w:t>主要内容及其说明</w:t>
      </w:r>
    </w:p>
    <w:p w14:paraId="6711E636">
      <w:pPr>
        <w:adjustRightInd w:val="0"/>
        <w:snapToGrid w:val="0"/>
        <w:spacing w:before="156" w:beforeLines="50" w:after="156" w:afterLines="50" w:line="360" w:lineRule="auto"/>
        <w:ind w:firstLine="360" w:firstLineChars="150"/>
        <w:rPr>
          <w:rFonts w:hint="eastAsia"/>
          <w:sz w:val="24"/>
          <w:lang w:eastAsia="zh-Hans"/>
        </w:rPr>
      </w:pPr>
      <w:r>
        <w:rPr>
          <w:rFonts w:hint="eastAsia"/>
          <w:sz w:val="24"/>
        </w:rPr>
        <w:t>《</w:t>
      </w:r>
      <w:r>
        <w:rPr>
          <w:rFonts w:hint="eastAsia"/>
          <w:sz w:val="24"/>
          <w:lang w:eastAsia="zh-Hans"/>
        </w:rPr>
        <w:t>家具项目采购需求管理指南》团体标准的主要内容包括：范围、规范性引用文件、术语和定义、总体要求、项目分类、采购需求制定过程、技术要求、商务要求、采购实施计划及风险控制等10个方面的内容及规范性附录</w:t>
      </w:r>
      <w:r>
        <w:rPr>
          <w:rFonts w:hint="eastAsia"/>
          <w:sz w:val="24"/>
          <w:lang w:eastAsia="zh-CN"/>
        </w:rPr>
        <w:t>，</w:t>
      </w:r>
      <w:r>
        <w:rPr>
          <w:rFonts w:hint="eastAsia"/>
          <w:sz w:val="24"/>
          <w:lang w:eastAsia="zh-Hans"/>
        </w:rPr>
        <w:t>形成一个完整的家具项目采购需求管理体系，为政府采购家具项目提供全面、系统的指导。</w:t>
      </w:r>
    </w:p>
    <w:p w14:paraId="1486F71C">
      <w:pPr>
        <w:adjustRightInd w:val="0"/>
        <w:snapToGrid w:val="0"/>
        <w:spacing w:before="156" w:beforeLines="50" w:after="156" w:afterLines="50" w:line="360" w:lineRule="auto"/>
        <w:ind w:firstLine="360" w:firstLineChars="150"/>
        <w:rPr>
          <w:rFonts w:hint="eastAsia"/>
          <w:sz w:val="24"/>
          <w:lang w:eastAsia="zh-Hans"/>
        </w:rPr>
      </w:pPr>
      <w:r>
        <w:rPr>
          <w:rFonts w:hint="eastAsia"/>
          <w:sz w:val="24"/>
          <w:lang w:eastAsia="zh-Hans"/>
        </w:rPr>
        <w:t>范围明确了标准的适用对象和管理内容边界；规范性引用文件为标准的实施提供具体的技术支撑；术语和定义统一了行业内的专业词汇理解；总体要求奠定了采购需求管理的基本原则和责任框架；项目分类帮助采购人清晰识别不同类型家具项目；采购需求制定过程规范了需求确定的流程和方法；技术要求和商务要求分别对家具产品的技术</w:t>
      </w:r>
      <w:r>
        <w:rPr>
          <w:rFonts w:hint="eastAsia"/>
          <w:sz w:val="24"/>
          <w:lang w:val="en-US" w:eastAsia="zh-CN"/>
        </w:rPr>
        <w:t>要求</w:t>
      </w:r>
      <w:r>
        <w:rPr>
          <w:rFonts w:hint="eastAsia"/>
          <w:sz w:val="24"/>
          <w:lang w:eastAsia="zh-Hans"/>
        </w:rPr>
        <w:t>和商务</w:t>
      </w:r>
      <w:r>
        <w:rPr>
          <w:rFonts w:hint="eastAsia"/>
          <w:sz w:val="24"/>
          <w:lang w:val="en-US" w:eastAsia="zh-CN"/>
        </w:rPr>
        <w:t>要求</w:t>
      </w:r>
      <w:r>
        <w:rPr>
          <w:rFonts w:hint="eastAsia"/>
          <w:sz w:val="24"/>
          <w:lang w:eastAsia="zh-Hans"/>
        </w:rPr>
        <w:t>进行规定；采购实施计划指导采购人合理安排采购活动；风险控制则保障采购活动的顺利进行，防范各类风险。附录进一步细化和补充了正文内容，增强标准的可操作性。</w:t>
      </w:r>
    </w:p>
    <w:p w14:paraId="1431F10B">
      <w:pPr>
        <w:numPr>
          <w:ilvl w:val="1"/>
          <w:numId w:val="2"/>
        </w:numPr>
        <w:adjustRightInd w:val="0"/>
        <w:snapToGrid w:val="0"/>
        <w:spacing w:line="360" w:lineRule="auto"/>
        <w:ind w:left="567" w:leftChars="0" w:hanging="567" w:firstLineChars="0"/>
        <w:outlineLvl w:val="2"/>
        <w:rPr>
          <w:rFonts w:hint="eastAsia" w:ascii="黑体" w:hAnsi="黑体" w:eastAsia="黑体"/>
          <w:bCs/>
          <w:sz w:val="24"/>
          <w:szCs w:val="22"/>
          <w:lang w:val="en-US" w:eastAsia="zh-CN"/>
        </w:rPr>
      </w:pPr>
      <w:r>
        <w:rPr>
          <w:rFonts w:hint="eastAsia" w:ascii="黑体" w:hAnsi="黑体" w:eastAsia="黑体"/>
          <w:bCs/>
          <w:sz w:val="24"/>
          <w:szCs w:val="22"/>
          <w:lang w:val="en-US" w:eastAsia="zh-CN"/>
        </w:rPr>
        <w:t>范围</w:t>
      </w:r>
    </w:p>
    <w:p w14:paraId="5C12836A">
      <w:pPr>
        <w:adjustRightInd w:val="0"/>
        <w:snapToGrid w:val="0"/>
        <w:spacing w:before="156" w:beforeLines="50" w:after="156" w:afterLines="50" w:line="360" w:lineRule="auto"/>
        <w:ind w:firstLine="360" w:firstLineChars="150"/>
        <w:rPr>
          <w:sz w:val="24"/>
        </w:rPr>
      </w:pPr>
      <w:r>
        <w:rPr>
          <w:rFonts w:hint="eastAsia"/>
          <w:sz w:val="24"/>
        </w:rPr>
        <w:t>本文件规定了家具项目采购需求管理的术语和定义、总体要求、项目分类、采购需求制定过程、技术要求、商务要求、采购实施计划和风险控制等要求。</w:t>
      </w:r>
    </w:p>
    <w:p w14:paraId="4FF64973">
      <w:pPr>
        <w:adjustRightInd w:val="0"/>
        <w:snapToGrid w:val="0"/>
        <w:spacing w:before="156" w:beforeLines="50" w:after="156" w:afterLines="50" w:line="360" w:lineRule="auto"/>
        <w:ind w:firstLine="360" w:firstLineChars="150"/>
        <w:rPr>
          <w:rFonts w:hint="eastAsia"/>
          <w:sz w:val="24"/>
        </w:rPr>
      </w:pPr>
      <w:r>
        <w:rPr>
          <w:rFonts w:hint="eastAsia"/>
          <w:sz w:val="24"/>
        </w:rPr>
        <w:t>本文件适用于各级国家机关、事业单位和团体组织政府采购家具项目的需求管理，国有企业家具类采购项目也可参照执行。</w:t>
      </w:r>
    </w:p>
    <w:p w14:paraId="3213D1AA">
      <w:pPr>
        <w:numPr>
          <w:ilvl w:val="1"/>
          <w:numId w:val="2"/>
        </w:numPr>
        <w:adjustRightInd w:val="0"/>
        <w:snapToGrid w:val="0"/>
        <w:spacing w:line="360" w:lineRule="auto"/>
        <w:ind w:left="567" w:leftChars="0" w:hanging="567" w:firstLineChars="0"/>
        <w:outlineLvl w:val="2"/>
        <w:rPr>
          <w:rFonts w:hint="eastAsia" w:ascii="黑体" w:hAnsi="黑体" w:eastAsia="黑体"/>
          <w:bCs/>
          <w:sz w:val="24"/>
          <w:szCs w:val="22"/>
          <w:lang w:val="en-US" w:eastAsia="zh-CN"/>
        </w:rPr>
      </w:pPr>
      <w:r>
        <w:rPr>
          <w:rFonts w:hint="eastAsia" w:ascii="黑体" w:hAnsi="黑体" w:eastAsia="黑体"/>
          <w:bCs/>
          <w:sz w:val="24"/>
          <w:szCs w:val="22"/>
          <w:lang w:val="en-US" w:eastAsia="zh-CN"/>
        </w:rPr>
        <w:t>规范性引用文件</w:t>
      </w:r>
    </w:p>
    <w:p w14:paraId="65A683C9">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rPr>
      </w:pPr>
      <w:r>
        <w:rPr>
          <w:rFonts w:hint="eastAsia"/>
          <w:sz w:val="24"/>
        </w:rPr>
        <w:t>规范性应用文件包括最新的产品标准、试验方法标准及原辅材料标准，主要有：</w:t>
      </w:r>
    </w:p>
    <w:p w14:paraId="7E171A64">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708 冷轧钢板和钢带的尺寸、外形、重量及允许偏差</w:t>
      </w:r>
    </w:p>
    <w:p w14:paraId="7A5D7626">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3324 木家具通用技术条件</w:t>
      </w:r>
    </w:p>
    <w:p w14:paraId="0D4961FC">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3325 金属家具通用技术条件</w:t>
      </w:r>
    </w:p>
    <w:p w14:paraId="6B07BD16">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4897 刨花板</w:t>
      </w:r>
    </w:p>
    <w:p w14:paraId="5898B9FC">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5849 细木工板</w:t>
      </w:r>
    </w:p>
    <w:p w14:paraId="262E2A08">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6728 结构用冷弯空心型钢</w:t>
      </w:r>
    </w:p>
    <w:p w14:paraId="137B0F01">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9846 普通胶合板</w:t>
      </w:r>
    </w:p>
    <w:p w14:paraId="5CD40B77">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10357.1 家具力学性能试验 第1部分：桌类强度和耐久性</w:t>
      </w:r>
    </w:p>
    <w:p w14:paraId="71BE61AE">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10357.3 家具力学性能试验 第3部分：椅凳类强度和耐久性</w:t>
      </w:r>
    </w:p>
    <w:p w14:paraId="291B3389">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10357.5 家具力学性能试验 第5部分：柜类强度和耐久性</w:t>
      </w:r>
    </w:p>
    <w:p w14:paraId="3E720A15">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10357.6 家具力学性能试验 第6部分：单层床强度和耐久性</w:t>
      </w:r>
    </w:p>
    <w:p w14:paraId="151106AB">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10802 通用软质聚氨酯泡沫塑料</w:t>
      </w:r>
    </w:p>
    <w:p w14:paraId="7A94D81B">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eastAsia="zh-CN"/>
        </w:rPr>
      </w:pPr>
      <w:r>
        <w:rPr>
          <w:rFonts w:hint="eastAsia"/>
          <w:sz w:val="24"/>
          <w:lang w:val="en-US" w:eastAsia="zh-CN"/>
        </w:rPr>
        <w:t>GB/T 11718 中密度纤维板</w:t>
      </w:r>
    </w:p>
    <w:p w14:paraId="5CC6D4DC">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13667.1 钢制书架 第1部分：单、复柱书架</w:t>
      </w:r>
    </w:p>
    <w:p w14:paraId="6397E508">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13667.3 钢制书架 第3部分：手动密集书架</w:t>
      </w:r>
    </w:p>
    <w:p w14:paraId="0D7AEF15">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13667.4 钢制书架 第４部分：电动密集书架</w:t>
      </w:r>
    </w:p>
    <w:p w14:paraId="152005DC">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14531 办公家具 阅览桌、椅、凳</w:t>
      </w:r>
    </w:p>
    <w:p w14:paraId="38D35319">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14532 办公家具 木制柜、架</w:t>
      </w:r>
    </w:p>
    <w:p w14:paraId="6E703FD6">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15102 浸渍胶膜纸饰面纤维板和刨花板</w:t>
      </w:r>
    </w:p>
    <w:p w14:paraId="2F09427B">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15104 装饰单板贴面人造板</w:t>
      </w:r>
    </w:p>
    <w:p w14:paraId="2E5A636D">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 18145 陶瓷片密封水嘴</w:t>
      </w:r>
    </w:p>
    <w:p w14:paraId="33E25C13">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 18401 国家纺织产品基本安全技术规范</w:t>
      </w:r>
    </w:p>
    <w:p w14:paraId="7B6CD460">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18414.2 纺织品 含氯苯酚的测定 第2部分：气相色谱法</w:t>
      </w:r>
    </w:p>
    <w:p w14:paraId="292B5A6A">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 18581 木器涂料中有害物质限量</w:t>
      </w:r>
    </w:p>
    <w:p w14:paraId="76B04DC9">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 18583 室内装饰装修材料 胶粘剂中有害物质限量</w:t>
      </w:r>
    </w:p>
    <w:p w14:paraId="3C2C755C">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 18584 家具中有害物质限量</w:t>
      </w:r>
    </w:p>
    <w:p w14:paraId="65307803">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16799 家具用皮革</w:t>
      </w:r>
    </w:p>
    <w:p w14:paraId="1FB5D9C7">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 17927 家具阻燃性能安全技术规范</w:t>
      </w:r>
    </w:p>
    <w:p w14:paraId="13F98BAE">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22808 皮革和毛皮 化学试验 含氯苯酚的测定</w:t>
      </w:r>
    </w:p>
    <w:p w14:paraId="3E674ED7">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24820 实验室家具通用技术要求</w:t>
      </w:r>
    </w:p>
    <w:p w14:paraId="2D38BE55">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24821 餐桌餐椅</w:t>
      </w:r>
    </w:p>
    <w:p w14:paraId="281F56E2">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 24977 卫浴家具通用技术条件</w:t>
      </w:r>
    </w:p>
    <w:p w14:paraId="2910B2E0">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26706 软体家具 棕纤维弹性床垫</w:t>
      </w:r>
    </w:p>
    <w:p w14:paraId="5AC5F567">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26848 家具用天然石板</w:t>
      </w:r>
    </w:p>
    <w:p w14:paraId="20213881">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26695 家具用钢化玻璃板</w:t>
      </w:r>
    </w:p>
    <w:p w14:paraId="23B8544D">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26696 家具用高分子材料台面板</w:t>
      </w:r>
    </w:p>
    <w:p w14:paraId="3A033823">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 28007 婴幼儿及儿童家具安全技术规范</w:t>
      </w:r>
    </w:p>
    <w:p w14:paraId="02AC35EA">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 28008 家具结构安全技术规范</w:t>
      </w:r>
    </w:p>
    <w:p w14:paraId="32DA6860">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28010 红木家具通用技术条件</w:t>
      </w:r>
    </w:p>
    <w:p w14:paraId="63D28052">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28202-2020 家具工业术语</w:t>
      </w:r>
    </w:p>
    <w:p w14:paraId="28E0F0AE">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28203 家具用连接件技术要求及试验方法</w:t>
      </w:r>
    </w:p>
    <w:p w14:paraId="2BEF6C3C">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31765 高密度纤维板</w:t>
      </w:r>
    </w:p>
    <w:p w14:paraId="69B2D808">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32444 竹制家具通用技术条件</w:t>
      </w:r>
    </w:p>
    <w:p w14:paraId="5706CC75">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32446 玻璃家具通用技术要求</w:t>
      </w:r>
    </w:p>
    <w:p w14:paraId="222AB896">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32487 塑料家具通用技术条件</w:t>
      </w:r>
    </w:p>
    <w:p w14:paraId="50CDBB3C">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33282 室内用石材家具通用技术条件</w:t>
      </w:r>
    </w:p>
    <w:p w14:paraId="490D8FB1">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34722 浸渍胶膜纸饰面胶合板和细木工板</w:t>
      </w:r>
    </w:p>
    <w:p w14:paraId="0648878E">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35607 绿色产品评价 家具</w:t>
      </w:r>
    </w:p>
    <w:p w14:paraId="37A84D32">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38466 藤家具通用技术条件</w:t>
      </w:r>
    </w:p>
    <w:p w14:paraId="28786A82">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38724 家具中有害物质 放射性的测定</w:t>
      </w:r>
    </w:p>
    <w:p w14:paraId="39D2D599">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GB/T 40971 家具产品及其材料中禁限用物质测定方法 多环芳烃</w:t>
      </w:r>
    </w:p>
    <w:p w14:paraId="281AA7ED">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HJ 2537 环境标志产品技术要求 水性涂料</w:t>
      </w:r>
    </w:p>
    <w:p w14:paraId="6FB5DC51">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HG/T 5989 绿色设计产品评价技术规范 家具用胶粘剂</w:t>
      </w:r>
    </w:p>
    <w:p w14:paraId="19FC9994">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LY/T 1983 铜箔、铝箔饰面人造板</w:t>
      </w:r>
    </w:p>
    <w:p w14:paraId="1D2C389C">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LY/T 1985 防腐木材和人造板中五氯苯酚含量的测定方法</w:t>
      </w:r>
    </w:p>
    <w:p w14:paraId="6C85FE7E">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YY/T 0003 手动病床</w:t>
      </w:r>
    </w:p>
    <w:p w14:paraId="58976C8A">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1097 钢制文件柜</w:t>
      </w:r>
    </w:p>
    <w:p w14:paraId="0674BB90">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1621 家具锁</w:t>
      </w:r>
    </w:p>
    <w:p w14:paraId="19939966">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1952.1 软体家具 沙发</w:t>
      </w:r>
    </w:p>
    <w:p w14:paraId="27A7D833">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1952.2 软体家具 弹簧软床垫</w:t>
      </w:r>
    </w:p>
    <w:p w14:paraId="27AAFAA5">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2189-2013 家具五金 杯状暗铰链</w:t>
      </w:r>
    </w:p>
    <w:p w14:paraId="1E791DF7">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2280 办公家具 办公椅</w:t>
      </w:r>
    </w:p>
    <w:p w14:paraId="7E58341D">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2384 木制写字桌</w:t>
      </w:r>
    </w:p>
    <w:p w14:paraId="2198A755">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2385 深色名贵硬木家具</w:t>
      </w:r>
    </w:p>
    <w:p w14:paraId="24EFB899">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2454 家具五金 抽屉导轨</w:t>
      </w:r>
    </w:p>
    <w:p w14:paraId="1A3121A8">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2530 木制柜</w:t>
      </w:r>
    </w:p>
    <w:p w14:paraId="1A59F5AC">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2531 厨房家具</w:t>
      </w:r>
    </w:p>
    <w:p w14:paraId="79A7270D">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2601 体育场馆公共座椅</w:t>
      </w:r>
    </w:p>
    <w:p w14:paraId="199F8FF0">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2602 影剧院公共座椅</w:t>
      </w:r>
    </w:p>
    <w:p w14:paraId="3CC0E5F9">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2603 木制宾馆家具</w:t>
      </w:r>
    </w:p>
    <w:p w14:paraId="181EE5D1">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2741 学生公寓多功能家具</w:t>
      </w:r>
    </w:p>
    <w:p w14:paraId="6C185154">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4071 课桌椅</w:t>
      </w:r>
    </w:p>
    <w:p w14:paraId="414BC31C">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4156 办公家具 电脑桌</w:t>
      </w:r>
    </w:p>
    <w:p w14:paraId="5E5B3F33">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4190 软体家具 软体床</w:t>
      </w:r>
    </w:p>
    <w:p w14:paraId="0876B764">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4934 连体餐桌椅</w:t>
      </w:r>
    </w:p>
    <w:p w14:paraId="2E0A0E3B">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4454 沙滩椅</w:t>
      </w:r>
    </w:p>
    <w:p w14:paraId="723E2CFA">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4456 家具用高强度装饰台面板</w:t>
      </w:r>
    </w:p>
    <w:p w14:paraId="4CDA2704">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4463 家具用封边条技术要求</w:t>
      </w:r>
    </w:p>
    <w:p w14:paraId="58FEB1C7">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4464 家具用蜂窝板部件技术要求</w:t>
      </w:r>
    </w:p>
    <w:p w14:paraId="444CD282">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4467 茶几</w:t>
      </w:r>
    </w:p>
    <w:p w14:paraId="2E131B69">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4670 吧椅</w:t>
      </w:r>
    </w:p>
    <w:p w14:paraId="2F23519E">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4714 家居用聚氨酯合成革</w:t>
      </w:r>
    </w:p>
    <w:p w14:paraId="2241454E">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4765 家具用脚轮</w:t>
      </w:r>
    </w:p>
    <w:p w14:paraId="1F100527">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4767 家具用钢构件</w:t>
      </w:r>
    </w:p>
    <w:p w14:paraId="189E197B">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4783 摇椅</w:t>
      </w:r>
    </w:p>
    <w:p w14:paraId="24751075">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4839 软体家具 发泡型床垫</w:t>
      </w:r>
    </w:p>
    <w:p w14:paraId="607F8544">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4935 办公家具 屏风桌</w:t>
      </w:r>
    </w:p>
    <w:p w14:paraId="5D4F5DC1">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5033 藤椅</w:t>
      </w:r>
    </w:p>
    <w:p w14:paraId="69CD62F7">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5067 家具用聚氯乙烯人造革</w:t>
      </w:r>
    </w:p>
    <w:p w14:paraId="70ACEE3D">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5271 电动升降桌</w:t>
      </w:r>
    </w:p>
    <w:p w14:paraId="32BCF16F">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5588 鞋柜</w:t>
      </w:r>
    </w:p>
    <w:p w14:paraId="70FACEAC">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5589 实验室家具 通风柜</w:t>
      </w:r>
    </w:p>
    <w:p w14:paraId="5EC6C492">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5590 婴幼儿床垫</w:t>
      </w:r>
    </w:p>
    <w:p w14:paraId="2AD0A827">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5617 单层床通用技术条件</w:t>
      </w:r>
    </w:p>
    <w:p w14:paraId="316BB660">
      <w:pPr>
        <w:pStyle w:val="8"/>
        <w:keepNext w:val="0"/>
        <w:keepLines w:val="0"/>
        <w:widowControl/>
        <w:suppressLineNumbers w:val="0"/>
        <w:autoSpaceDE w:val="0"/>
        <w:autoSpaceDN w:val="0"/>
        <w:adjustRightInd/>
        <w:spacing w:before="0" w:beforeAutospacing="0" w:after="0" w:afterAutospacing="0" w:line="360" w:lineRule="auto"/>
        <w:ind w:left="0" w:right="0" w:firstLine="480" w:firstLineChars="200"/>
        <w:jc w:val="both"/>
        <w:rPr>
          <w:rFonts w:hint="eastAsia"/>
          <w:sz w:val="24"/>
          <w:lang w:val="en-US"/>
        </w:rPr>
      </w:pPr>
      <w:r>
        <w:rPr>
          <w:rFonts w:hint="eastAsia"/>
          <w:sz w:val="24"/>
          <w:lang w:val="en-US" w:eastAsia="zh-CN"/>
        </w:rPr>
        <w:t>QB/T 5659 婴儿床</w:t>
      </w:r>
    </w:p>
    <w:p w14:paraId="56411B58">
      <w:pPr>
        <w:adjustRightInd w:val="0"/>
        <w:snapToGrid w:val="0"/>
        <w:spacing w:line="360" w:lineRule="auto"/>
        <w:rPr>
          <w:rFonts w:hint="eastAsia" w:ascii="黑体" w:eastAsia="黑体"/>
          <w:sz w:val="24"/>
        </w:rPr>
      </w:pPr>
    </w:p>
    <w:p w14:paraId="06808ADB">
      <w:pPr>
        <w:numPr>
          <w:ilvl w:val="1"/>
          <w:numId w:val="2"/>
        </w:numPr>
        <w:adjustRightInd w:val="0"/>
        <w:snapToGrid w:val="0"/>
        <w:spacing w:line="360" w:lineRule="auto"/>
        <w:ind w:left="567" w:leftChars="0" w:hanging="567" w:firstLineChars="0"/>
        <w:outlineLvl w:val="2"/>
        <w:rPr>
          <w:rFonts w:hint="eastAsia" w:ascii="黑体" w:hAnsi="黑体" w:eastAsia="黑体"/>
          <w:bCs/>
          <w:sz w:val="24"/>
          <w:szCs w:val="22"/>
          <w:lang w:val="en-US" w:eastAsia="zh-CN"/>
        </w:rPr>
      </w:pPr>
      <w:r>
        <w:rPr>
          <w:rFonts w:hint="eastAsia" w:ascii="黑体" w:hAnsi="黑体" w:eastAsia="黑体"/>
          <w:bCs/>
          <w:sz w:val="24"/>
          <w:szCs w:val="22"/>
          <w:lang w:val="en-US" w:eastAsia="zh-CN"/>
        </w:rPr>
        <w:t>术语和定义</w:t>
      </w:r>
    </w:p>
    <w:p w14:paraId="64E9F414">
      <w:pPr>
        <w:pStyle w:val="13"/>
        <w:spacing w:before="156" w:beforeLines="50" w:after="156" w:afterLines="50" w:line="360" w:lineRule="auto"/>
        <w:ind w:firstLine="480"/>
        <w:rPr>
          <w:rFonts w:hint="eastAsia" w:eastAsia="新宋体"/>
          <w:sz w:val="24"/>
        </w:rPr>
      </w:pPr>
      <w:r>
        <w:rPr>
          <w:rFonts w:hint="eastAsia" w:eastAsia="新宋体"/>
          <w:sz w:val="24"/>
        </w:rPr>
        <w:t>按照GB/T 1.1—2020《标准化工作导则 第1部分：标准化文件的结构和起草规则》的规定，结合</w:t>
      </w:r>
      <w:r>
        <w:rPr>
          <w:rFonts w:hint="eastAsia" w:eastAsia="新宋体"/>
          <w:sz w:val="24"/>
          <w:lang w:val="en-US" w:eastAsia="zh-CN"/>
        </w:rPr>
        <w:t>GB/T 28202-2020《家具工业术语》</w:t>
      </w:r>
      <w:r>
        <w:rPr>
          <w:rFonts w:hint="eastAsia" w:eastAsia="新宋体"/>
          <w:sz w:val="24"/>
        </w:rPr>
        <w:t>的规定与家具</w:t>
      </w:r>
      <w:r>
        <w:rPr>
          <w:rFonts w:hint="eastAsia" w:eastAsia="新宋体"/>
          <w:sz w:val="24"/>
          <w:lang w:val="en-US" w:eastAsia="zh-CN"/>
        </w:rPr>
        <w:t>项目</w:t>
      </w:r>
      <w:r>
        <w:rPr>
          <w:rFonts w:hint="eastAsia" w:eastAsia="新宋体"/>
          <w:sz w:val="24"/>
        </w:rPr>
        <w:t>的特点相结合，定义了</w:t>
      </w:r>
      <w:r>
        <w:rPr>
          <w:rFonts w:hint="eastAsia" w:eastAsia="新宋体"/>
          <w:sz w:val="24"/>
          <w:lang w:val="en-US" w:eastAsia="zh-CN"/>
        </w:rPr>
        <w:t>采购需求、技术要求、</w:t>
      </w:r>
      <w:r>
        <w:rPr>
          <w:rFonts w:hint="eastAsia" w:eastAsia="新宋体"/>
          <w:sz w:val="24"/>
        </w:rPr>
        <w:t>标准配置技术要求、高性能配置技术要求等定义。</w:t>
      </w:r>
    </w:p>
    <w:p w14:paraId="470B9D08">
      <w:pPr>
        <w:numPr>
          <w:ilvl w:val="1"/>
          <w:numId w:val="2"/>
        </w:numPr>
        <w:adjustRightInd w:val="0"/>
        <w:snapToGrid w:val="0"/>
        <w:spacing w:line="360" w:lineRule="auto"/>
        <w:ind w:left="567" w:leftChars="0" w:hanging="567" w:firstLineChars="0"/>
        <w:outlineLvl w:val="2"/>
        <w:rPr>
          <w:rFonts w:hint="eastAsia" w:ascii="黑体" w:hAnsi="黑体" w:eastAsia="黑体"/>
          <w:bCs/>
          <w:sz w:val="24"/>
          <w:szCs w:val="22"/>
          <w:lang w:val="en-US" w:eastAsia="zh-CN"/>
        </w:rPr>
      </w:pPr>
      <w:r>
        <w:rPr>
          <w:rFonts w:hint="eastAsia" w:ascii="黑体" w:hAnsi="黑体" w:eastAsia="黑体"/>
          <w:bCs/>
          <w:sz w:val="24"/>
          <w:szCs w:val="22"/>
          <w:lang w:val="en-US" w:eastAsia="zh-CN"/>
        </w:rPr>
        <w:t>总体要求</w:t>
      </w:r>
    </w:p>
    <w:p w14:paraId="4D66109F">
      <w:pPr>
        <w:pStyle w:val="13"/>
        <w:spacing w:before="156" w:beforeLines="50" w:after="156" w:afterLines="50" w:line="360" w:lineRule="auto"/>
        <w:ind w:firstLine="480"/>
        <w:rPr>
          <w:rFonts w:eastAsia="新宋体"/>
          <w:sz w:val="24"/>
        </w:rPr>
      </w:pPr>
      <w:r>
        <w:rPr>
          <w:rFonts w:hint="eastAsia" w:eastAsia="新宋体"/>
          <w:sz w:val="24"/>
        </w:rPr>
        <w:t>对“总体要求”部分进行了调整优化。原标准的“总体要求”包含了采购需求管理的原则、采购人的主体责任、采购需求应符合的相关规定，还涉及主管预算单位的职责以及落实政府采购政策功能等内容。</w:t>
      </w:r>
    </w:p>
    <w:p w14:paraId="23E15CF8">
      <w:pPr>
        <w:pStyle w:val="13"/>
        <w:spacing w:before="156" w:beforeLines="50" w:after="156" w:afterLines="50" w:line="360" w:lineRule="auto"/>
        <w:ind w:firstLine="480"/>
        <w:rPr>
          <w:rFonts w:hint="eastAsia" w:eastAsia="新宋体"/>
          <w:sz w:val="24"/>
        </w:rPr>
      </w:pPr>
      <w:r>
        <w:rPr>
          <w:rFonts w:hint="eastAsia" w:eastAsia="新宋体"/>
          <w:sz w:val="24"/>
        </w:rPr>
        <w:t>修改后的“总体要求”删去了原4.4中关于主管预算单位负责指导本部门采购需求管理工作，以及采购需求应当依据部门预算确定的相关内容。同时，删去了4.5中关于应落实支持创新、绿色发展、中小企业发展等政府采购政策功能，以及列举《政府采购促进中小企业发展管理办法》《财政部、民政部、中国残疾人联合会关于促进残疾人就业政府采购政策的通知》等文件的内容。</w:t>
      </w:r>
    </w:p>
    <w:p w14:paraId="34624EDC">
      <w:pPr>
        <w:numPr>
          <w:ilvl w:val="1"/>
          <w:numId w:val="2"/>
        </w:numPr>
        <w:adjustRightInd w:val="0"/>
        <w:snapToGrid w:val="0"/>
        <w:spacing w:line="360" w:lineRule="auto"/>
        <w:ind w:left="567" w:leftChars="0" w:hanging="567" w:firstLineChars="0"/>
        <w:outlineLvl w:val="2"/>
        <w:rPr>
          <w:rFonts w:hint="eastAsia" w:ascii="黑体" w:hAnsi="黑体" w:eastAsia="黑体"/>
          <w:bCs/>
          <w:sz w:val="24"/>
          <w:szCs w:val="22"/>
          <w:lang w:val="en-US" w:eastAsia="zh-CN"/>
        </w:rPr>
      </w:pPr>
      <w:r>
        <w:rPr>
          <w:rFonts w:hint="eastAsia" w:ascii="黑体" w:hAnsi="黑体" w:eastAsia="黑体"/>
          <w:bCs/>
          <w:sz w:val="24"/>
          <w:szCs w:val="22"/>
          <w:lang w:val="en-US" w:eastAsia="zh-CN"/>
        </w:rPr>
        <w:t>与原标准的主要差异和水平对比</w:t>
      </w:r>
    </w:p>
    <w:p w14:paraId="7168D203">
      <w:pPr>
        <w:pStyle w:val="13"/>
        <w:spacing w:before="156" w:beforeLines="50" w:after="156" w:afterLines="50" w:line="360" w:lineRule="auto"/>
        <w:ind w:firstLine="480"/>
        <w:rPr>
          <w:rFonts w:eastAsia="新宋体"/>
          <w:sz w:val="24"/>
        </w:rPr>
      </w:pPr>
      <w:r>
        <w:rPr>
          <w:rFonts w:hint="eastAsia" w:eastAsia="新宋体"/>
          <w:sz w:val="24"/>
        </w:rPr>
        <w:t>本文件与《政府采购-家具项目采购需求管理指南》相比，除编辑性修改外主要技术变化如下：</w:t>
      </w:r>
    </w:p>
    <w:p w14:paraId="70902DCE">
      <w:pPr>
        <w:numPr>
          <w:ilvl w:val="2"/>
          <w:numId w:val="2"/>
        </w:numPr>
        <w:adjustRightInd w:val="0"/>
        <w:snapToGrid w:val="0"/>
        <w:spacing w:line="360" w:lineRule="auto"/>
        <w:ind w:left="709" w:leftChars="0" w:hanging="709" w:firstLineChars="0"/>
        <w:outlineLvl w:val="2"/>
        <w:rPr>
          <w:rFonts w:hint="eastAsia" w:ascii="黑体" w:hAnsi="黑体" w:eastAsia="黑体"/>
          <w:bCs/>
          <w:sz w:val="24"/>
          <w:szCs w:val="22"/>
          <w:lang w:val="en-US" w:eastAsia="zh-CN"/>
        </w:rPr>
      </w:pPr>
      <w:r>
        <w:rPr>
          <w:rFonts w:hint="eastAsia" w:ascii="黑体" w:hAnsi="黑体" w:eastAsia="黑体"/>
          <w:bCs/>
          <w:sz w:val="24"/>
          <w:szCs w:val="22"/>
          <w:lang w:val="en-US" w:eastAsia="zh-CN"/>
        </w:rPr>
        <w:t>标准结构扩展</w:t>
      </w:r>
    </w:p>
    <w:p w14:paraId="28B7F63E">
      <w:pPr>
        <w:pStyle w:val="13"/>
        <w:spacing w:before="156" w:beforeLines="50" w:after="156" w:afterLines="50" w:line="360" w:lineRule="auto"/>
        <w:ind w:firstLine="480"/>
        <w:rPr>
          <w:rFonts w:eastAsia="新宋体"/>
          <w:sz w:val="24"/>
        </w:rPr>
      </w:pPr>
      <w:r>
        <w:rPr>
          <w:rFonts w:hint="eastAsia" w:eastAsia="新宋体"/>
          <w:sz w:val="24"/>
        </w:rPr>
        <w:t>增加榫卯结构示例（附录K）、评分项细则（附录M），强化标准可操作性。</w:t>
      </w:r>
    </w:p>
    <w:p w14:paraId="346E6B96">
      <w:pPr>
        <w:pStyle w:val="13"/>
        <w:spacing w:before="156" w:beforeLines="50" w:after="156" w:afterLines="50" w:line="360" w:lineRule="auto"/>
        <w:ind w:firstLine="480"/>
        <w:rPr>
          <w:rFonts w:eastAsia="新宋体"/>
          <w:sz w:val="24"/>
        </w:rPr>
      </w:pPr>
      <w:r>
        <w:rPr>
          <w:rFonts w:hint="eastAsia" w:eastAsia="新宋体"/>
          <w:sz w:val="24"/>
        </w:rPr>
        <w:t>新增图书馆家具（附录H）、档案馆家具（附录I）、人才公寓家具（附录J）等细分场景技术参数，覆盖领域更全面。</w:t>
      </w:r>
    </w:p>
    <w:p w14:paraId="163631C7">
      <w:pPr>
        <w:pStyle w:val="13"/>
        <w:spacing w:before="156" w:beforeLines="50" w:after="156" w:afterLines="50" w:line="360" w:lineRule="auto"/>
        <w:ind w:firstLine="480"/>
        <w:rPr>
          <w:rFonts w:eastAsia="新宋体"/>
          <w:sz w:val="24"/>
        </w:rPr>
      </w:pPr>
      <w:r>
        <w:rPr>
          <w:rFonts w:hint="eastAsia" w:eastAsia="新宋体"/>
          <w:sz w:val="24"/>
        </w:rPr>
        <w:t>将原分散的家具技术参数（如办公、医院家具）按场景重新分类，形成办公家具（附录D）、学校家具（附录E）、医用家具（附录F）等独立附录，逻辑更清晰。</w:t>
      </w:r>
    </w:p>
    <w:p w14:paraId="38206773">
      <w:pPr>
        <w:numPr>
          <w:ilvl w:val="2"/>
          <w:numId w:val="2"/>
        </w:numPr>
        <w:adjustRightInd w:val="0"/>
        <w:snapToGrid w:val="0"/>
        <w:spacing w:line="360" w:lineRule="auto"/>
        <w:ind w:left="709" w:leftChars="0" w:hanging="709" w:firstLineChars="0"/>
        <w:outlineLvl w:val="2"/>
        <w:rPr>
          <w:rFonts w:hint="eastAsia" w:ascii="黑体" w:hAnsi="黑体" w:eastAsia="黑体"/>
          <w:bCs/>
          <w:sz w:val="24"/>
          <w:szCs w:val="22"/>
          <w:lang w:val="en-US" w:eastAsia="zh-CN"/>
        </w:rPr>
      </w:pPr>
      <w:r>
        <w:rPr>
          <w:rFonts w:hint="eastAsia" w:ascii="黑体" w:hAnsi="黑体" w:eastAsia="黑体"/>
          <w:bCs/>
          <w:sz w:val="24"/>
          <w:szCs w:val="22"/>
          <w:lang w:val="en-US" w:eastAsia="zh-CN"/>
        </w:rPr>
        <w:t>项目分类细化</w:t>
      </w:r>
    </w:p>
    <w:p w14:paraId="321E396A">
      <w:pPr>
        <w:pStyle w:val="13"/>
        <w:spacing w:before="156" w:beforeLines="50" w:after="156" w:afterLines="50" w:line="360" w:lineRule="auto"/>
        <w:ind w:firstLine="480"/>
        <w:rPr>
          <w:rFonts w:eastAsia="新宋体"/>
          <w:sz w:val="24"/>
        </w:rPr>
      </w:pPr>
      <w:r>
        <w:rPr>
          <w:rFonts w:hint="eastAsia" w:eastAsia="新宋体"/>
          <w:sz w:val="24"/>
        </w:rPr>
        <w:t>新增图书馆家具、档案馆家具、人才公寓家具三类项目，覆盖场景更全面。</w:t>
      </w:r>
    </w:p>
    <w:p w14:paraId="4A883158">
      <w:pPr>
        <w:pStyle w:val="13"/>
        <w:spacing w:before="156" w:beforeLines="50" w:after="156" w:afterLines="50" w:line="360" w:lineRule="auto"/>
        <w:ind w:firstLine="480"/>
        <w:rPr>
          <w:rFonts w:eastAsia="新宋体"/>
          <w:sz w:val="24"/>
        </w:rPr>
      </w:pPr>
      <w:r>
        <w:rPr>
          <w:rFonts w:hint="eastAsia" w:eastAsia="新宋体"/>
          <w:sz w:val="24"/>
        </w:rPr>
        <w:t>细化家具品目至床类、台桌类、椅凳类、屏风类、组合家具等9类，分类更精准。帮助采购人更清晰地识别不同使用场所对家具的具体需求。</w:t>
      </w:r>
    </w:p>
    <w:p w14:paraId="65D9CA84">
      <w:pPr>
        <w:numPr>
          <w:ilvl w:val="2"/>
          <w:numId w:val="2"/>
        </w:numPr>
        <w:adjustRightInd w:val="0"/>
        <w:snapToGrid w:val="0"/>
        <w:spacing w:line="360" w:lineRule="auto"/>
        <w:ind w:left="709" w:leftChars="0" w:hanging="709" w:firstLineChars="0"/>
        <w:outlineLvl w:val="2"/>
        <w:rPr>
          <w:rFonts w:hint="eastAsia" w:ascii="黑体" w:hAnsi="黑体" w:eastAsia="黑体"/>
          <w:bCs/>
          <w:sz w:val="24"/>
          <w:szCs w:val="22"/>
          <w:lang w:val="en-US" w:eastAsia="zh-CN"/>
        </w:rPr>
      </w:pPr>
      <w:r>
        <w:rPr>
          <w:rFonts w:hint="eastAsia" w:ascii="黑体" w:hAnsi="黑体" w:eastAsia="黑体"/>
          <w:bCs/>
          <w:sz w:val="24"/>
          <w:szCs w:val="22"/>
          <w:lang w:val="en-US" w:eastAsia="zh-CN"/>
        </w:rPr>
        <w:t>技术要求升级</w:t>
      </w:r>
    </w:p>
    <w:p w14:paraId="310D0891">
      <w:pPr>
        <w:pStyle w:val="13"/>
        <w:spacing w:before="156" w:beforeLines="50" w:after="156" w:afterLines="50" w:line="360" w:lineRule="auto"/>
        <w:ind w:firstLine="480"/>
        <w:rPr>
          <w:rFonts w:eastAsia="新宋体"/>
          <w:sz w:val="24"/>
        </w:rPr>
      </w:pPr>
      <w:r>
        <w:rPr>
          <w:rFonts w:hint="eastAsia" w:eastAsia="新宋体"/>
          <w:sz w:val="24"/>
        </w:rPr>
        <w:t>新增家具原辅材料质量评价标准及技术参数（附录A）、各类家具主要尺寸及其偏差（附录B）、家具产品质量评价标准及技术性能参数（附录C），以及各家具项目的功能要求（附录D-附录J），这些新增的标准和参数，为家具产品的质量把控提供了更加严格和细致的依据。</w:t>
      </w:r>
    </w:p>
    <w:p w14:paraId="6D2EBD5D">
      <w:pPr>
        <w:pStyle w:val="13"/>
        <w:spacing w:before="156" w:beforeLines="50" w:after="156" w:afterLines="50" w:line="360" w:lineRule="auto"/>
        <w:ind w:firstLine="480"/>
        <w:rPr>
          <w:rFonts w:eastAsia="新宋体"/>
          <w:sz w:val="24"/>
        </w:rPr>
      </w:pPr>
      <w:r>
        <w:rPr>
          <w:rFonts w:hint="eastAsia" w:eastAsia="新宋体"/>
          <w:sz w:val="24"/>
        </w:rPr>
        <w:t>引用最新国标/行标，对旧版中部分过时的引用内容进行了替代。通过这种方式，确保标准始终与行业最新技术和规范保持同步，提升了标准的时效性和权威性。</w:t>
      </w:r>
    </w:p>
    <w:p w14:paraId="3071E1F0">
      <w:pPr>
        <w:numPr>
          <w:ilvl w:val="2"/>
          <w:numId w:val="2"/>
        </w:numPr>
        <w:adjustRightInd w:val="0"/>
        <w:snapToGrid w:val="0"/>
        <w:spacing w:line="360" w:lineRule="auto"/>
        <w:ind w:left="709" w:leftChars="0" w:hanging="709" w:firstLineChars="0"/>
        <w:outlineLvl w:val="2"/>
        <w:rPr>
          <w:rFonts w:hint="eastAsia" w:ascii="黑体" w:hAnsi="黑体" w:eastAsia="黑体"/>
          <w:bCs/>
          <w:sz w:val="24"/>
          <w:szCs w:val="22"/>
          <w:lang w:val="en-US" w:eastAsia="zh-CN"/>
        </w:rPr>
      </w:pPr>
      <w:r>
        <w:rPr>
          <w:rFonts w:hint="eastAsia" w:ascii="黑体" w:hAnsi="黑体" w:eastAsia="黑体"/>
          <w:bCs/>
          <w:sz w:val="24"/>
          <w:szCs w:val="22"/>
          <w:lang w:val="en-US" w:eastAsia="zh-CN"/>
        </w:rPr>
        <w:t>采购实施与风险管理强化</w:t>
      </w:r>
    </w:p>
    <w:p w14:paraId="4B549E4A">
      <w:pPr>
        <w:pStyle w:val="13"/>
        <w:spacing w:before="156" w:beforeLines="50" w:after="156" w:afterLines="50" w:line="360" w:lineRule="auto"/>
        <w:ind w:firstLine="480"/>
        <w:rPr>
          <w:rFonts w:eastAsia="新宋体"/>
          <w:sz w:val="24"/>
        </w:rPr>
      </w:pPr>
      <w:r>
        <w:rPr>
          <w:rFonts w:hint="eastAsia" w:eastAsia="新宋体"/>
          <w:sz w:val="24"/>
        </w:rPr>
        <w:t>新增合同风险分级管控（9.4），要求识别风险环节、可能性及责任，提出有针对性的处置措施和替代方案。</w:t>
      </w:r>
    </w:p>
    <w:p w14:paraId="0849609E">
      <w:pPr>
        <w:pStyle w:val="13"/>
        <w:spacing w:before="156" w:beforeLines="50" w:after="156" w:afterLines="50" w:line="360" w:lineRule="auto"/>
        <w:ind w:firstLine="480"/>
        <w:rPr>
          <w:rFonts w:eastAsia="新宋体"/>
          <w:sz w:val="24"/>
        </w:rPr>
      </w:pPr>
      <w:r>
        <w:rPr>
          <w:rFonts w:hint="eastAsia" w:eastAsia="新宋体"/>
          <w:sz w:val="24"/>
        </w:rPr>
        <w:t>明确重点审查范围（如400万元以上项目必须审查），原版仅作建议性描述。</w:t>
      </w:r>
    </w:p>
    <w:p w14:paraId="3ACDB259">
      <w:pPr>
        <w:pStyle w:val="13"/>
        <w:spacing w:before="156" w:beforeLines="50" w:after="156" w:afterLines="50" w:line="360" w:lineRule="auto"/>
        <w:ind w:firstLine="480"/>
        <w:rPr>
          <w:rFonts w:hint="eastAsia" w:eastAsia="新宋体"/>
          <w:sz w:val="24"/>
        </w:rPr>
      </w:pPr>
      <w:r>
        <w:rPr>
          <w:rFonts w:hint="eastAsia" w:eastAsia="新宋体"/>
          <w:sz w:val="24"/>
        </w:rPr>
        <w:t>细化</w:t>
      </w:r>
      <w:r>
        <w:rPr>
          <w:rFonts w:hint="eastAsia" w:eastAsia="新宋体"/>
          <w:sz w:val="24"/>
          <w:lang w:val="en-US" w:eastAsia="zh-CN"/>
        </w:rPr>
        <w:t>家具项目采购需求编写结构示例（附录L）,家具项目评分项</w:t>
      </w:r>
      <w:r>
        <w:rPr>
          <w:rFonts w:hint="eastAsia" w:eastAsia="新宋体"/>
          <w:sz w:val="24"/>
        </w:rPr>
        <w:t>（附录M），量化</w:t>
      </w:r>
      <w:r>
        <w:rPr>
          <w:rFonts w:hint="eastAsia" w:eastAsia="新宋体"/>
          <w:sz w:val="24"/>
          <w:lang w:val="en-US" w:eastAsia="zh-CN"/>
        </w:rPr>
        <w:t>电气部分的质保时间、履约验收要求、</w:t>
      </w:r>
      <w:r>
        <w:rPr>
          <w:rFonts w:hint="eastAsia" w:eastAsia="新宋体"/>
          <w:sz w:val="24"/>
        </w:rPr>
        <w:t>技术、商务、样品、报价权重，原版</w:t>
      </w:r>
      <w:r>
        <w:rPr>
          <w:rFonts w:hint="eastAsia" w:eastAsia="新宋体"/>
          <w:sz w:val="24"/>
          <w:lang w:val="en-US" w:eastAsia="zh-CN"/>
        </w:rPr>
        <w:t>采购需求编写结构和</w:t>
      </w:r>
      <w:r>
        <w:rPr>
          <w:rFonts w:hint="eastAsia" w:eastAsia="新宋体"/>
          <w:sz w:val="24"/>
        </w:rPr>
        <w:t>评分项较笼统。</w:t>
      </w:r>
    </w:p>
    <w:p w14:paraId="13979461">
      <w:pPr>
        <w:pStyle w:val="13"/>
        <w:spacing w:before="156" w:beforeLines="50" w:after="156" w:afterLines="50" w:line="360" w:lineRule="auto"/>
        <w:ind w:firstLine="480"/>
        <w:rPr>
          <w:rFonts w:hint="eastAsia" w:eastAsia="新宋体"/>
          <w:sz w:val="24"/>
        </w:rPr>
      </w:pPr>
      <w:r>
        <w:rPr>
          <w:rFonts w:hint="eastAsia" w:eastAsia="新宋体"/>
          <w:sz w:val="24"/>
        </w:rPr>
        <w:t>对于家具项目采购需求编写结构示例（附录 L）和家具项目评分项（附录 M）进行</w:t>
      </w:r>
      <w:r>
        <w:rPr>
          <w:rFonts w:hint="eastAsia" w:eastAsia="新宋体"/>
          <w:sz w:val="24"/>
          <w:lang w:val="en-US" w:eastAsia="zh-CN"/>
        </w:rPr>
        <w:t>细化</w:t>
      </w:r>
      <w:r>
        <w:rPr>
          <w:rFonts w:hint="eastAsia" w:eastAsia="新宋体"/>
          <w:sz w:val="24"/>
        </w:rPr>
        <w:t>：明确</w:t>
      </w:r>
      <w:r>
        <w:rPr>
          <w:rFonts w:hint="eastAsia" w:eastAsia="新宋体"/>
          <w:sz w:val="24"/>
          <w:lang w:val="en-US" w:eastAsia="zh-CN"/>
        </w:rPr>
        <w:t>家具中</w:t>
      </w:r>
      <w:r>
        <w:rPr>
          <w:rFonts w:hint="eastAsia" w:eastAsia="新宋体"/>
          <w:sz w:val="24"/>
        </w:rPr>
        <w:t>电气部分的质保时间，</w:t>
      </w:r>
      <w:r>
        <w:rPr>
          <w:rFonts w:hint="eastAsia" w:eastAsia="新宋体"/>
          <w:sz w:val="24"/>
          <w:lang w:val="en-US" w:eastAsia="zh-CN"/>
        </w:rPr>
        <w:t>明确了</w:t>
      </w:r>
      <w:r>
        <w:rPr>
          <w:rFonts w:hint="eastAsia" w:eastAsia="新宋体"/>
          <w:sz w:val="24"/>
        </w:rPr>
        <w:t>履约验收的要求，进一步量化技术、商务、样品、报价在整体权重中的占比，使之更具科学性和合理性。</w:t>
      </w:r>
    </w:p>
    <w:p w14:paraId="79B3E04E">
      <w:pPr>
        <w:numPr>
          <w:ilvl w:val="1"/>
          <w:numId w:val="2"/>
        </w:numPr>
        <w:adjustRightInd w:val="0"/>
        <w:snapToGrid w:val="0"/>
        <w:spacing w:line="360" w:lineRule="auto"/>
        <w:ind w:left="567" w:leftChars="0" w:hanging="567" w:firstLineChars="0"/>
        <w:outlineLvl w:val="2"/>
        <w:rPr>
          <w:rFonts w:hint="eastAsia" w:ascii="黑体" w:hAnsi="黑体" w:eastAsia="黑体"/>
          <w:bCs/>
          <w:sz w:val="24"/>
          <w:szCs w:val="22"/>
          <w:lang w:val="en-US" w:eastAsia="zh-CN"/>
        </w:rPr>
      </w:pPr>
      <w:r>
        <w:rPr>
          <w:rFonts w:hint="eastAsia" w:ascii="黑体" w:hAnsi="黑体" w:eastAsia="黑体"/>
          <w:bCs/>
          <w:sz w:val="24"/>
          <w:szCs w:val="22"/>
          <w:lang w:val="en-US" w:eastAsia="zh-CN"/>
        </w:rPr>
        <w:t>解决的主要问题</w:t>
      </w:r>
    </w:p>
    <w:p w14:paraId="18386DBE">
      <w:pPr>
        <w:pStyle w:val="13"/>
        <w:spacing w:before="156" w:beforeLines="50" w:after="156" w:afterLines="50" w:line="360" w:lineRule="auto"/>
        <w:ind w:firstLine="480"/>
        <w:rPr>
          <w:rFonts w:hint="eastAsia" w:eastAsia="新宋体"/>
          <w:sz w:val="24"/>
        </w:rPr>
      </w:pPr>
      <w:r>
        <w:rPr>
          <w:rFonts w:hint="eastAsia" w:eastAsia="新宋体"/>
          <w:sz w:val="24"/>
        </w:rPr>
        <w:t>本标准修订主要解决以下问题：</w:t>
      </w:r>
    </w:p>
    <w:p w14:paraId="7057F0BD">
      <w:pPr>
        <w:numPr>
          <w:ilvl w:val="2"/>
          <w:numId w:val="2"/>
        </w:numPr>
        <w:adjustRightInd w:val="0"/>
        <w:snapToGrid w:val="0"/>
        <w:spacing w:line="360" w:lineRule="auto"/>
        <w:ind w:left="709" w:leftChars="0" w:hanging="709" w:firstLineChars="0"/>
        <w:outlineLvl w:val="2"/>
        <w:rPr>
          <w:rFonts w:hint="eastAsia" w:ascii="黑体" w:hAnsi="黑体" w:eastAsia="黑体"/>
          <w:bCs/>
          <w:sz w:val="24"/>
          <w:szCs w:val="22"/>
          <w:lang w:val="en-US" w:eastAsia="zh-CN"/>
        </w:rPr>
      </w:pPr>
      <w:r>
        <w:rPr>
          <w:rFonts w:hint="eastAsia" w:ascii="黑体" w:hAnsi="黑体" w:eastAsia="黑体"/>
          <w:bCs/>
          <w:sz w:val="24"/>
          <w:szCs w:val="22"/>
          <w:lang w:val="en-US" w:eastAsia="zh-CN"/>
        </w:rPr>
        <w:t>采用最新版的引用标准</w:t>
      </w:r>
    </w:p>
    <w:p w14:paraId="20BCF5E8">
      <w:pPr>
        <w:pStyle w:val="13"/>
        <w:spacing w:before="156" w:beforeLines="50" w:after="156" w:afterLines="50" w:line="360" w:lineRule="auto"/>
        <w:ind w:firstLine="480"/>
        <w:rPr>
          <w:rFonts w:hint="eastAsia" w:eastAsia="新宋体"/>
          <w:sz w:val="24"/>
        </w:rPr>
      </w:pPr>
      <w:r>
        <w:rPr>
          <w:rFonts w:hint="eastAsia" w:eastAsia="新宋体"/>
          <w:sz w:val="24"/>
        </w:rPr>
        <w:t>随着家具行业的技术进步与发展，原标准引用的部分标准已完成修订。例如</w:t>
      </w:r>
      <w:r>
        <w:rPr>
          <w:rFonts w:hint="eastAsia" w:eastAsia="新宋体"/>
          <w:sz w:val="24"/>
          <w:lang w:val="en-US" w:eastAsia="zh-CN"/>
        </w:rPr>
        <w:t>GB/T 3324、GB/T 3325、GB/T35607等</w:t>
      </w:r>
      <w:r>
        <w:rPr>
          <w:rFonts w:hint="eastAsia" w:eastAsia="新宋体"/>
          <w:sz w:val="24"/>
        </w:rPr>
        <w:t>家具通用技术标准</w:t>
      </w:r>
      <w:r>
        <w:rPr>
          <w:rFonts w:hint="eastAsia" w:eastAsia="新宋体"/>
          <w:sz w:val="24"/>
          <w:lang w:val="en-US" w:eastAsia="zh-CN"/>
        </w:rPr>
        <w:t>进行了最新版本的更新</w:t>
      </w:r>
      <w:r>
        <w:rPr>
          <w:rFonts w:hint="eastAsia" w:eastAsia="新宋体"/>
          <w:sz w:val="24"/>
        </w:rPr>
        <w:t>，部分家具力学性能试验方法标准，人造板理化性能试验方法标准、木材含水率测试方法等都有最新版本标准</w:t>
      </w:r>
      <w:r>
        <w:rPr>
          <w:rFonts w:hint="eastAsia" w:eastAsia="新宋体"/>
          <w:sz w:val="24"/>
          <w:lang w:eastAsia="zh-CN"/>
        </w:rPr>
        <w:t>。</w:t>
      </w:r>
      <w:r>
        <w:rPr>
          <w:rFonts w:hint="eastAsia" w:eastAsia="新宋体"/>
          <w:sz w:val="24"/>
        </w:rPr>
        <w:t>若继续沿用旧标准，会导致采购和验收缺乏准确性和科学性。因此，本次修订全面采用最新版引用标准，保证标准的有效性，确保采购的家具符合当前</w:t>
      </w:r>
      <w:r>
        <w:rPr>
          <w:rFonts w:hint="eastAsia" w:eastAsia="新宋体"/>
          <w:sz w:val="24"/>
          <w:lang w:val="en-US" w:eastAsia="zh-CN"/>
        </w:rPr>
        <w:t>家具</w:t>
      </w:r>
      <w:r>
        <w:rPr>
          <w:rFonts w:hint="eastAsia" w:eastAsia="新宋体"/>
          <w:sz w:val="24"/>
        </w:rPr>
        <w:t>行业</w:t>
      </w:r>
      <w:r>
        <w:rPr>
          <w:rFonts w:hint="eastAsia" w:eastAsia="新宋体"/>
          <w:sz w:val="24"/>
          <w:lang w:eastAsia="zh-CN"/>
        </w:rPr>
        <w:t>的</w:t>
      </w:r>
      <w:r>
        <w:rPr>
          <w:rFonts w:hint="eastAsia" w:eastAsia="新宋体"/>
          <w:sz w:val="24"/>
        </w:rPr>
        <w:t>质量要求。</w:t>
      </w:r>
    </w:p>
    <w:p w14:paraId="7F1A0480">
      <w:pPr>
        <w:numPr>
          <w:ilvl w:val="2"/>
          <w:numId w:val="2"/>
        </w:numPr>
        <w:adjustRightInd w:val="0"/>
        <w:snapToGrid w:val="0"/>
        <w:spacing w:line="360" w:lineRule="auto"/>
        <w:ind w:left="709" w:leftChars="0" w:hanging="709" w:firstLineChars="0"/>
        <w:outlineLvl w:val="2"/>
        <w:rPr>
          <w:rFonts w:hint="eastAsia" w:ascii="黑体" w:hAnsi="黑体" w:eastAsia="黑体"/>
          <w:bCs/>
          <w:sz w:val="24"/>
          <w:szCs w:val="22"/>
          <w:lang w:val="en-US" w:eastAsia="zh-CN"/>
        </w:rPr>
      </w:pPr>
      <w:r>
        <w:rPr>
          <w:rFonts w:hint="eastAsia" w:ascii="黑体" w:hAnsi="黑体" w:eastAsia="黑体"/>
          <w:bCs/>
          <w:sz w:val="24"/>
          <w:szCs w:val="22"/>
          <w:lang w:val="en-US" w:eastAsia="zh-CN"/>
        </w:rPr>
        <w:t>项目分类细化</w:t>
      </w:r>
    </w:p>
    <w:p w14:paraId="467DFFFB">
      <w:pPr>
        <w:pStyle w:val="13"/>
        <w:spacing w:before="156" w:beforeLines="50" w:after="156" w:afterLines="50" w:line="360" w:lineRule="auto"/>
        <w:ind w:firstLine="480"/>
        <w:rPr>
          <w:rFonts w:hint="eastAsia" w:eastAsia="新宋体"/>
          <w:sz w:val="24"/>
        </w:rPr>
      </w:pPr>
      <w:r>
        <w:rPr>
          <w:rFonts w:hint="eastAsia" w:eastAsia="新宋体"/>
          <w:sz w:val="24"/>
        </w:rPr>
        <w:t>原标准将政府采购家具项目分为办公家具、学生课桌椅、学生公寓家具、幼儿园家具、普教实验室家具、高校实验室家具、医院家具</w:t>
      </w:r>
      <w:r>
        <w:rPr>
          <w:rFonts w:hint="eastAsia" w:eastAsia="新宋体"/>
          <w:sz w:val="24"/>
          <w:lang w:val="en-US" w:eastAsia="zh-CN"/>
        </w:rPr>
        <w:t>七</w:t>
      </w:r>
      <w:r>
        <w:rPr>
          <w:rFonts w:hint="eastAsia" w:eastAsia="新宋体"/>
          <w:sz w:val="24"/>
        </w:rPr>
        <w:t>大类。该分类方式在一定程度上对家具项目进行了初步划分，但在实际应用中，发现其存在分类不够细致、维度较为单一的问题。</w:t>
      </w:r>
    </w:p>
    <w:p w14:paraId="442FF215">
      <w:pPr>
        <w:pStyle w:val="13"/>
        <w:spacing w:before="156" w:beforeLines="50" w:after="156" w:afterLines="50" w:line="360" w:lineRule="auto"/>
        <w:ind w:firstLine="480"/>
        <w:rPr>
          <w:rFonts w:hint="eastAsia" w:eastAsia="新宋体"/>
          <w:sz w:val="24"/>
        </w:rPr>
      </w:pPr>
      <w:r>
        <w:rPr>
          <w:rFonts w:hint="eastAsia" w:eastAsia="新宋体"/>
          <w:sz w:val="24"/>
        </w:rPr>
        <w:t>修改后的项目分类从两个维度进行了更为详细的划分。一方面，按产品的使用场合进行分类，新增了学校家具（涵盖了原有的学生课桌椅等学校相关家具，使学校家具分类更全面）、医用家具（对原医院家具进一步细化）、图书馆家具、档案馆家具、人才公寓家具等类别，使不同使用场景下的家具分类更加清晰明确，更符合实际使用需求。另一方面，按采购品目进行分类，将家具细分为床类、台桌类、椅凳类、沙发类、柜类、架类、屏风类、组合家具以及其他家具。这种分类方式有助于采购人从</w:t>
      </w:r>
      <w:r>
        <w:rPr>
          <w:rFonts w:hint="eastAsia" w:eastAsia="新宋体"/>
          <w:sz w:val="24"/>
          <w:lang w:val="en-US" w:eastAsia="zh-CN"/>
        </w:rPr>
        <w:t>资产管理</w:t>
      </w:r>
      <w:r>
        <w:rPr>
          <w:rFonts w:hint="eastAsia" w:eastAsia="新宋体"/>
          <w:sz w:val="24"/>
        </w:rPr>
        <w:t>的角度出发，更精准地梳理采购需求。</w:t>
      </w:r>
    </w:p>
    <w:p w14:paraId="0B7DD651">
      <w:pPr>
        <w:numPr>
          <w:ilvl w:val="2"/>
          <w:numId w:val="2"/>
        </w:numPr>
        <w:adjustRightInd w:val="0"/>
        <w:snapToGrid w:val="0"/>
        <w:spacing w:line="360" w:lineRule="auto"/>
        <w:ind w:left="709" w:leftChars="0" w:hanging="709" w:firstLineChars="0"/>
        <w:outlineLvl w:val="2"/>
        <w:rPr>
          <w:rFonts w:hint="eastAsia" w:ascii="黑体" w:hAnsi="黑体" w:eastAsia="黑体"/>
          <w:bCs/>
          <w:sz w:val="24"/>
          <w:szCs w:val="22"/>
          <w:lang w:val="en-US" w:eastAsia="zh-CN"/>
        </w:rPr>
      </w:pPr>
      <w:r>
        <w:rPr>
          <w:rFonts w:hint="eastAsia" w:ascii="黑体" w:hAnsi="黑体" w:eastAsia="黑体"/>
          <w:bCs/>
          <w:sz w:val="24"/>
          <w:szCs w:val="22"/>
          <w:lang w:val="en-US" w:eastAsia="zh-CN"/>
        </w:rPr>
        <w:t>需求明确，提高采购效率</w:t>
      </w:r>
    </w:p>
    <w:p w14:paraId="2375A20F">
      <w:pPr>
        <w:pStyle w:val="13"/>
        <w:spacing w:before="156" w:beforeLines="50" w:after="156" w:afterLines="50" w:line="360" w:lineRule="auto"/>
        <w:ind w:firstLine="480"/>
        <w:rPr>
          <w:rFonts w:hint="eastAsia" w:eastAsia="新宋体"/>
          <w:sz w:val="24"/>
        </w:rPr>
      </w:pPr>
      <w:r>
        <w:rPr>
          <w:rFonts w:hint="eastAsia" w:eastAsia="新宋体"/>
          <w:sz w:val="24"/>
        </w:rPr>
        <w:t>过去，因采购需求不明确，常出现采购的家具不符合实际需求的情况，造成资源浪费和采购周期延长。为解决这一问题，修订后的标准详细规范了采购需求制定过程。明确规定400万元以上或涉及公共利益等项目必须开展需求调查，且调查对象不少于3个并具有代表性，以此确保需求信息的全面性和准确性。同时，通过分层技术指标（标准/高性能配置）和12项核心参数清单，将需求结构化。采购人可根据实际需求选择合适配置，明确采购目标，提高采购效率和质量。</w:t>
      </w:r>
    </w:p>
    <w:p w14:paraId="507F5263">
      <w:pPr>
        <w:numPr>
          <w:ilvl w:val="2"/>
          <w:numId w:val="2"/>
        </w:numPr>
        <w:adjustRightInd w:val="0"/>
        <w:snapToGrid w:val="0"/>
        <w:spacing w:line="360" w:lineRule="auto"/>
        <w:ind w:left="709" w:leftChars="0" w:hanging="709" w:firstLineChars="0"/>
        <w:outlineLvl w:val="2"/>
        <w:rPr>
          <w:rFonts w:hint="eastAsia" w:ascii="黑体" w:hAnsi="黑体" w:eastAsia="黑体"/>
          <w:bCs/>
          <w:sz w:val="24"/>
          <w:szCs w:val="22"/>
          <w:lang w:val="en-US" w:eastAsia="zh-CN"/>
        </w:rPr>
      </w:pPr>
      <w:r>
        <w:rPr>
          <w:rFonts w:hint="eastAsia" w:ascii="黑体" w:hAnsi="黑体" w:eastAsia="黑体"/>
          <w:bCs/>
          <w:sz w:val="24"/>
          <w:szCs w:val="22"/>
          <w:lang w:val="en-US" w:eastAsia="zh-CN"/>
        </w:rPr>
        <w:t>统一技术参数</w:t>
      </w:r>
    </w:p>
    <w:p w14:paraId="3108196D">
      <w:pPr>
        <w:pStyle w:val="13"/>
        <w:spacing w:before="156" w:beforeLines="50" w:after="156" w:afterLines="50" w:line="360" w:lineRule="auto"/>
        <w:ind w:firstLine="480"/>
        <w:rPr>
          <w:rFonts w:hint="eastAsia" w:eastAsia="新宋体"/>
          <w:sz w:val="24"/>
        </w:rPr>
      </w:pPr>
      <w:r>
        <w:rPr>
          <w:rFonts w:hint="eastAsia" w:eastAsia="新宋体"/>
          <w:sz w:val="24"/>
        </w:rPr>
        <w:t>修订版对家具原辅材料、家具产品以及各应用场景下的家具项目（如办公、学校、医用等）均制定了统一且详细的技术参数和质量评价标准。以人造板甲醛释放量为例，依据最新标准分E0级、Enf级设定不同限值，各类家具的主要尺寸及其偏差、质量及性能都有对应规范，这有效解决了技术参数不统一的状况，为采购和验收提供了明确依据。</w:t>
      </w:r>
    </w:p>
    <w:p w14:paraId="0586E703">
      <w:pPr>
        <w:numPr>
          <w:ilvl w:val="2"/>
          <w:numId w:val="2"/>
        </w:numPr>
        <w:adjustRightInd w:val="0"/>
        <w:snapToGrid w:val="0"/>
        <w:spacing w:line="360" w:lineRule="auto"/>
        <w:ind w:left="709" w:leftChars="0" w:hanging="709" w:firstLineChars="0"/>
        <w:outlineLvl w:val="2"/>
        <w:rPr>
          <w:rFonts w:hint="eastAsia" w:ascii="黑体" w:hAnsi="黑体" w:eastAsia="黑体"/>
          <w:bCs/>
          <w:sz w:val="24"/>
          <w:szCs w:val="22"/>
          <w:lang w:val="en-US" w:eastAsia="zh-CN"/>
        </w:rPr>
      </w:pPr>
      <w:r>
        <w:rPr>
          <w:rFonts w:hint="eastAsia" w:ascii="黑体" w:hAnsi="黑体" w:eastAsia="黑体"/>
          <w:bCs/>
          <w:sz w:val="24"/>
          <w:szCs w:val="22"/>
          <w:lang w:val="en-US" w:eastAsia="zh-CN"/>
        </w:rPr>
        <w:t>加强风险管控</w:t>
      </w:r>
    </w:p>
    <w:p w14:paraId="6579D745">
      <w:pPr>
        <w:pStyle w:val="13"/>
        <w:spacing w:before="156" w:beforeLines="50" w:after="156" w:afterLines="50" w:line="360" w:lineRule="auto"/>
        <w:ind w:firstLine="480"/>
        <w:rPr>
          <w:rFonts w:hint="eastAsia" w:eastAsia="新宋体"/>
          <w:sz w:val="24"/>
        </w:rPr>
      </w:pPr>
      <w:r>
        <w:rPr>
          <w:rFonts w:hint="eastAsia" w:eastAsia="新宋体"/>
          <w:sz w:val="24"/>
        </w:rPr>
        <w:t>在以往的家具采购中，由于风险管控不到位，出现过供应商履约不力、采购过程违规等问题。此次修订从制度和审查机制两方面强化风险管控。制度上，要求采购人将采购需求管理纳入内控体系，建立健全相关制度，增强采购人的风险意识和管理能力。审查机制上，设置一般性审查和重点审查。重点审查涵盖非歧视性、竞争性、采购政策合规性、履约风险等关键方面。同时，对合同风险管控提出要求，针对特定采购项目提前评估风险并制定处置措施，保障采购活动顺利进行，维护采购双方合法权益。</w:t>
      </w:r>
    </w:p>
    <w:p w14:paraId="6B23F8F7">
      <w:pPr>
        <w:numPr>
          <w:ilvl w:val="2"/>
          <w:numId w:val="2"/>
        </w:numPr>
        <w:adjustRightInd w:val="0"/>
        <w:snapToGrid w:val="0"/>
        <w:spacing w:line="360" w:lineRule="auto"/>
        <w:ind w:left="709" w:leftChars="0" w:hanging="709" w:firstLineChars="0"/>
        <w:outlineLvl w:val="2"/>
        <w:rPr>
          <w:rFonts w:hint="eastAsia" w:ascii="黑体" w:hAnsi="黑体" w:eastAsia="黑体"/>
          <w:bCs/>
          <w:sz w:val="24"/>
          <w:szCs w:val="22"/>
          <w:lang w:val="en-US" w:eastAsia="zh-CN"/>
        </w:rPr>
      </w:pPr>
      <w:r>
        <w:rPr>
          <w:rFonts w:hint="eastAsia" w:ascii="黑体" w:hAnsi="黑体" w:eastAsia="黑体"/>
          <w:bCs/>
          <w:sz w:val="24"/>
          <w:szCs w:val="22"/>
          <w:lang w:val="en-US" w:eastAsia="zh-CN"/>
        </w:rPr>
        <w:t>建立系统化的采购管理体系</w:t>
      </w:r>
    </w:p>
    <w:p w14:paraId="680F6096">
      <w:pPr>
        <w:numPr>
          <w:ilvl w:val="0"/>
          <w:numId w:val="0"/>
        </w:numPr>
        <w:adjustRightInd w:val="0"/>
        <w:snapToGrid w:val="0"/>
        <w:spacing w:line="360" w:lineRule="auto"/>
        <w:ind w:leftChars="0" w:firstLine="480" w:firstLineChars="200"/>
        <w:outlineLvl w:val="2"/>
        <w:rPr>
          <w:rFonts w:hint="eastAsia" w:eastAsia="新宋体"/>
          <w:sz w:val="24"/>
        </w:rPr>
      </w:pPr>
      <w:r>
        <w:rPr>
          <w:rFonts w:hint="eastAsia" w:eastAsia="新宋体"/>
          <w:sz w:val="24"/>
        </w:rPr>
        <w:t>修订后的标准为各级国家机关、事业单位、团体组织及国有企业</w:t>
      </w:r>
      <w:r>
        <w:rPr>
          <w:rFonts w:hint="eastAsia" w:eastAsia="新宋体"/>
          <w:sz w:val="24"/>
          <w:lang w:val="en-US" w:eastAsia="zh-CN"/>
        </w:rPr>
        <w:t>建立系统化的采购管理体系</w:t>
      </w:r>
      <w:r>
        <w:rPr>
          <w:rFonts w:hint="eastAsia" w:eastAsia="新宋体"/>
          <w:sz w:val="24"/>
        </w:rPr>
        <w:t>。明确采购需求管理遵循科学合理、厉行节约原则，采购人对采购需求和实施计划的合法性、合规性、合理性负责</w:t>
      </w:r>
      <w:r>
        <w:rPr>
          <w:rFonts w:hint="eastAsia" w:eastAsia="新宋体"/>
          <w:sz w:val="24"/>
          <w:lang w:eastAsia="zh-CN"/>
        </w:rPr>
        <w:t>，</w:t>
      </w:r>
      <w:r>
        <w:rPr>
          <w:rFonts w:hint="eastAsia" w:eastAsia="新宋体"/>
          <w:sz w:val="24"/>
        </w:rPr>
        <w:t>要求采购需求符合法律法规、政策及相关标准，禁止设置不合理条件，营造公平竞争的市场环境，推动家具采购活动规范化、标准化发展。</w:t>
      </w:r>
    </w:p>
    <w:p w14:paraId="38347BC2">
      <w:pPr>
        <w:numPr>
          <w:ilvl w:val="2"/>
          <w:numId w:val="2"/>
        </w:numPr>
        <w:adjustRightInd w:val="0"/>
        <w:snapToGrid w:val="0"/>
        <w:spacing w:line="360" w:lineRule="auto"/>
        <w:ind w:left="709" w:leftChars="0" w:hanging="709" w:firstLineChars="0"/>
        <w:outlineLvl w:val="2"/>
        <w:rPr>
          <w:rFonts w:hint="eastAsia" w:ascii="黑体" w:hAnsi="黑体" w:eastAsia="黑体"/>
          <w:bCs/>
          <w:sz w:val="24"/>
          <w:szCs w:val="22"/>
          <w:lang w:val="en-US" w:eastAsia="zh-CN"/>
        </w:rPr>
      </w:pPr>
      <w:r>
        <w:rPr>
          <w:rFonts w:hint="eastAsia" w:ascii="黑体" w:hAnsi="黑体" w:eastAsia="黑体"/>
          <w:bCs/>
          <w:sz w:val="24"/>
          <w:szCs w:val="22"/>
          <w:lang w:val="en-US" w:eastAsia="zh-CN"/>
        </w:rPr>
        <w:t>优化营商环境，加强履约验收</w:t>
      </w:r>
    </w:p>
    <w:p w14:paraId="24FD6E11">
      <w:pPr>
        <w:pStyle w:val="13"/>
        <w:spacing w:before="156" w:beforeLines="50" w:after="156" w:afterLines="50" w:line="360" w:lineRule="auto"/>
        <w:ind w:firstLine="480"/>
        <w:rPr>
          <w:rFonts w:hint="eastAsia" w:eastAsia="新宋体"/>
          <w:sz w:val="24"/>
        </w:rPr>
      </w:pPr>
      <w:r>
        <w:rPr>
          <w:rFonts w:hint="eastAsia" w:eastAsia="新宋体"/>
          <w:sz w:val="24"/>
        </w:rPr>
        <w:t>在优化营商环境的政策背景下，本次修订遵循财政部政策导向，关注采购人和供应商实际需求。在投标响应阶段，取消对供应商检测报告的要求，同时调整涉及大量认证证书的评审内容。从成本角度看，投标阶段提供检测报告会增加供应商成本，部分不良项目借此控标，破坏市场公平竞争。检测报告仅代表送检样品质量，无法保证实际交付产品质量；市场上部分认证证书不规范，不能真实反映企业或产品情况，却被用于控标，加重投标人负担。取消相关要求后，供应商可将资源投入产品质量和服务提升。为保证采购质量，修订后的标准强化履约验收环节，采购人可在验收时抽检产品或要求中标供应商提供检测报告，确保采购产品和服务符合要求。</w:t>
      </w:r>
    </w:p>
    <w:p w14:paraId="3315750B">
      <w:pPr>
        <w:numPr>
          <w:ilvl w:val="0"/>
          <w:numId w:val="2"/>
        </w:numPr>
        <w:adjustRightInd w:val="0"/>
        <w:snapToGrid w:val="0"/>
        <w:spacing w:line="360" w:lineRule="auto"/>
        <w:ind w:left="425" w:leftChars="0" w:hanging="425" w:firstLineChars="0"/>
        <w:outlineLvl w:val="0"/>
        <w:rPr>
          <w:rFonts w:hint="eastAsia" w:ascii="黑体" w:eastAsia="黑体"/>
          <w:sz w:val="28"/>
          <w:szCs w:val="28"/>
        </w:rPr>
      </w:pPr>
      <w:bookmarkStart w:id="2" w:name="_Hlk190764931"/>
      <w:r>
        <w:rPr>
          <w:rFonts w:hint="eastAsia" w:ascii="黑体" w:eastAsia="黑体"/>
          <w:sz w:val="28"/>
          <w:szCs w:val="28"/>
        </w:rPr>
        <w:t>主要试验（或验证）情况分析</w:t>
      </w:r>
      <w:bookmarkEnd w:id="2"/>
    </w:p>
    <w:p w14:paraId="69C51037">
      <w:pPr>
        <w:pStyle w:val="16"/>
        <w:spacing w:line="360" w:lineRule="auto"/>
        <w:ind w:firstLine="480"/>
        <w:rPr>
          <w:rFonts w:hint="eastAsia"/>
        </w:rPr>
      </w:pPr>
      <w:r>
        <w:rPr>
          <w:rFonts w:hint="eastAsia" w:ascii="楷体_GB2312" w:hAnsi="Times" w:eastAsia="新宋体" w:cs="Times New Roman"/>
          <w:kern w:val="2"/>
          <w:sz w:val="24"/>
          <w:szCs w:val="24"/>
          <w:lang w:val="en-US" w:eastAsia="zh-CN" w:bidi="ar-SA"/>
        </w:rPr>
        <w:t>本标准的相关指标均来源于相关国标、行业标准以法律法规的相关要求，具有坚实的依据。标准内容确定后，编制小组开展了广泛的调研。深入家具生产企业、采购单位、使用场所等地，观察家具实际生产过程、使用情况及存在的问题，并按照家具项目采购的实际情况进行了深入的探讨和研究。同时，邀请采购人单位代表、政府采购评审专家、供应商代表进行了实用性验证调查，对标准中各条款的合理性、科学性、适用性进行评估。通过问卷调查、座谈会等形式，收集各方对标准中各指标的意见和建议，对标准的可行性、合理性进行了全面验证，确保标准能够有效应用于实际采购活动。</w:t>
      </w:r>
    </w:p>
    <w:p w14:paraId="00ED4F6F">
      <w:pPr>
        <w:numPr>
          <w:ilvl w:val="0"/>
          <w:numId w:val="2"/>
        </w:numPr>
        <w:adjustRightInd w:val="0"/>
        <w:snapToGrid w:val="0"/>
        <w:spacing w:line="360" w:lineRule="auto"/>
        <w:ind w:left="425" w:leftChars="0" w:hanging="425" w:firstLineChars="0"/>
        <w:outlineLvl w:val="0"/>
        <w:rPr>
          <w:rFonts w:hint="eastAsia" w:ascii="黑体" w:eastAsia="黑体"/>
          <w:sz w:val="28"/>
          <w:szCs w:val="28"/>
        </w:rPr>
      </w:pPr>
      <w:bookmarkStart w:id="3" w:name="_Hlk190764948"/>
      <w:r>
        <w:rPr>
          <w:rFonts w:hint="eastAsia" w:ascii="黑体" w:eastAsia="黑体"/>
          <w:sz w:val="28"/>
          <w:szCs w:val="28"/>
        </w:rPr>
        <w:t>标准中如果涉及专利，应有明确的知识产权说明</w:t>
      </w:r>
      <w:bookmarkEnd w:id="3"/>
    </w:p>
    <w:p w14:paraId="2B9C2EBA">
      <w:pPr>
        <w:adjustRightInd w:val="0"/>
        <w:snapToGrid w:val="0"/>
        <w:spacing w:before="156" w:beforeLines="50" w:after="156" w:afterLines="50" w:line="360" w:lineRule="auto"/>
        <w:ind w:firstLine="480" w:firstLineChars="200"/>
        <w:rPr>
          <w:rFonts w:hint="eastAsia" w:ascii="宋体" w:hAnsi="宋体"/>
          <w:kern w:val="0"/>
          <w:sz w:val="24"/>
        </w:rPr>
      </w:pPr>
      <w:r>
        <w:rPr>
          <w:rFonts w:hint="eastAsia" w:ascii="宋体" w:hAnsi="宋体"/>
          <w:kern w:val="0"/>
          <w:sz w:val="24"/>
        </w:rPr>
        <w:t>在该标准的收集资料、市场调查以及编制过程中，</w:t>
      </w:r>
      <w:r>
        <w:rPr>
          <w:rFonts w:hint="eastAsia" w:ascii="宋体" w:hAnsi="宋体"/>
          <w:kern w:val="0"/>
          <w:sz w:val="24"/>
          <w:lang w:val="en-US" w:eastAsia="zh-CN"/>
        </w:rPr>
        <w:t>编制</w:t>
      </w:r>
      <w:r>
        <w:rPr>
          <w:rFonts w:hint="eastAsia" w:ascii="宋体" w:hAnsi="宋体"/>
          <w:kern w:val="0"/>
          <w:sz w:val="24"/>
        </w:rPr>
        <w:t>小组对标准内容进行了细致的排查。通过查阅大量文献、与行业专家交流、检索专利数据库等方式，全面审查标准中是否涉及专利内容。截至目前，没有发现标准内容涉及有关专利，确保了标准实施过程中不会产生知识产权纠纷。</w:t>
      </w:r>
    </w:p>
    <w:p w14:paraId="21B9707F">
      <w:pPr>
        <w:numPr>
          <w:ilvl w:val="0"/>
          <w:numId w:val="2"/>
        </w:numPr>
        <w:adjustRightInd w:val="0"/>
        <w:snapToGrid w:val="0"/>
        <w:spacing w:line="360" w:lineRule="auto"/>
        <w:ind w:left="425" w:leftChars="0" w:hanging="425" w:firstLineChars="0"/>
        <w:outlineLvl w:val="0"/>
        <w:rPr>
          <w:rFonts w:hint="eastAsia" w:ascii="黑体" w:eastAsia="黑体"/>
          <w:sz w:val="28"/>
          <w:szCs w:val="28"/>
        </w:rPr>
      </w:pPr>
      <w:bookmarkStart w:id="4" w:name="_Hlk190764959"/>
      <w:r>
        <w:rPr>
          <w:rFonts w:hint="eastAsia" w:ascii="黑体" w:eastAsia="黑体"/>
          <w:sz w:val="28"/>
          <w:szCs w:val="28"/>
        </w:rPr>
        <w:t>产业化情况、推广应用论证和预期达到的经济效果等情况</w:t>
      </w:r>
      <w:bookmarkEnd w:id="4"/>
    </w:p>
    <w:p w14:paraId="66E11AAB">
      <w:pPr>
        <w:adjustRightInd w:val="0"/>
        <w:snapToGrid w:val="0"/>
        <w:spacing w:before="156" w:beforeLines="50" w:after="156" w:afterLines="50" w:line="360" w:lineRule="auto"/>
        <w:ind w:firstLine="480" w:firstLineChars="200"/>
        <w:rPr>
          <w:rFonts w:hint="eastAsia" w:ascii="宋体" w:hAnsi="宋体"/>
          <w:kern w:val="0"/>
          <w:sz w:val="24"/>
          <w:lang w:eastAsia="zh-Hans"/>
        </w:rPr>
      </w:pPr>
      <w:r>
        <w:rPr>
          <w:rFonts w:hint="eastAsia" w:ascii="宋体" w:hAnsi="宋体"/>
          <w:kern w:val="0"/>
          <w:sz w:val="24"/>
          <w:lang w:eastAsia="zh-Hans"/>
        </w:rPr>
        <w:t>《家具项目采购需求管理指南》将家具项目的特点与《政府采购需求管理办法》紧密结合，构建了一套完整、清晰的家具采购项目需求管理体系。明确了从需求确定到采购实施、风险管控的主要内容及流程，详细提供了多款家具产品的技术要求，具有很强的可操作性，便于采购人和代理机构理解和应用，为标准的广泛推广奠定了基础。随着标准的进一步普及，将推动政府采购家具项目的改革向纵深发展。促使采购人更加明确主体责任，严格按照标准规范采购行为；改进评审机制，使评审过程更加科学、公正；优化政府采购营商环境，降低市场主体的交易成本，激发市场活力；保障各类采购市场主体的合法权益，促进家具行业的健康、可持续发展，进而带来显著的经济效益和社会效益。</w:t>
      </w:r>
    </w:p>
    <w:p w14:paraId="0D33FB8F">
      <w:pPr>
        <w:numPr>
          <w:ilvl w:val="0"/>
          <w:numId w:val="2"/>
        </w:numPr>
        <w:adjustRightInd w:val="0"/>
        <w:snapToGrid w:val="0"/>
        <w:spacing w:line="360" w:lineRule="auto"/>
        <w:ind w:left="425" w:leftChars="0" w:hanging="425" w:firstLineChars="0"/>
        <w:outlineLvl w:val="0"/>
        <w:rPr>
          <w:rFonts w:hint="eastAsia" w:ascii="黑体" w:eastAsia="黑体"/>
          <w:sz w:val="28"/>
          <w:szCs w:val="28"/>
        </w:rPr>
      </w:pPr>
      <w:bookmarkStart w:id="5" w:name="_Hlk190764969"/>
      <w:r>
        <w:rPr>
          <w:rFonts w:hint="eastAsia" w:ascii="黑体" w:eastAsia="黑体"/>
          <w:sz w:val="28"/>
          <w:szCs w:val="28"/>
        </w:rPr>
        <w:t>采用国际标准和国外先进标准情况</w:t>
      </w:r>
    </w:p>
    <w:bookmarkEnd w:id="5"/>
    <w:p w14:paraId="08DECA6A">
      <w:pPr>
        <w:adjustRightInd w:val="0"/>
        <w:snapToGrid w:val="0"/>
        <w:spacing w:before="156" w:beforeLines="50" w:after="156" w:afterLines="50" w:line="360" w:lineRule="auto"/>
        <w:ind w:firstLine="480" w:firstLineChars="200"/>
        <w:rPr>
          <w:rFonts w:hint="eastAsia" w:ascii="宋体" w:hAnsi="宋体"/>
          <w:kern w:val="0"/>
          <w:sz w:val="24"/>
        </w:rPr>
      </w:pPr>
      <w:r>
        <w:rPr>
          <w:rFonts w:hint="eastAsia" w:eastAsia="新宋体"/>
          <w:sz w:val="24"/>
        </w:rPr>
        <w:t>《家具项目采购需求管理指南》</w:t>
      </w:r>
      <w:r>
        <w:rPr>
          <w:rFonts w:hint="eastAsia" w:ascii="宋体" w:hAnsi="宋体"/>
          <w:kern w:val="0"/>
          <w:sz w:val="24"/>
        </w:rPr>
        <w:t>团体标准的修订，是以规范政府采购</w:t>
      </w:r>
      <w:r>
        <w:rPr>
          <w:rFonts w:hint="eastAsia" w:ascii="宋体" w:hAnsi="宋体"/>
          <w:kern w:val="0"/>
          <w:sz w:val="24"/>
          <w:lang w:eastAsia="zh-Hans"/>
        </w:rPr>
        <w:t>家具项目需求管理</w:t>
      </w:r>
      <w:r>
        <w:rPr>
          <w:rFonts w:hint="eastAsia" w:ascii="宋体" w:hAnsi="宋体"/>
          <w:kern w:val="0"/>
          <w:sz w:val="24"/>
        </w:rPr>
        <w:t>为目的，涉及到的家具采购产品均使用国内标准，未采用国际标准或国外标准。</w:t>
      </w:r>
    </w:p>
    <w:p w14:paraId="6607F3A3">
      <w:pPr>
        <w:numPr>
          <w:ilvl w:val="0"/>
          <w:numId w:val="2"/>
        </w:numPr>
        <w:adjustRightInd w:val="0"/>
        <w:snapToGrid w:val="0"/>
        <w:spacing w:line="360" w:lineRule="auto"/>
        <w:ind w:left="425" w:leftChars="0" w:hanging="425" w:firstLineChars="0"/>
        <w:outlineLvl w:val="0"/>
        <w:rPr>
          <w:rFonts w:hint="eastAsia" w:ascii="黑体" w:eastAsia="黑体"/>
          <w:sz w:val="28"/>
          <w:szCs w:val="28"/>
        </w:rPr>
      </w:pPr>
      <w:bookmarkStart w:id="6" w:name="_Hlk190764982"/>
      <w:r>
        <w:rPr>
          <w:rFonts w:hint="eastAsia" w:ascii="黑体" w:eastAsia="黑体"/>
          <w:sz w:val="28"/>
          <w:szCs w:val="28"/>
        </w:rPr>
        <w:t>与现行相关法律、法规、规章及相关标准，特别是强制性标准的协调性</w:t>
      </w:r>
      <w:bookmarkEnd w:id="6"/>
    </w:p>
    <w:p w14:paraId="493B5013">
      <w:pPr>
        <w:adjustRightInd w:val="0"/>
        <w:snapToGrid w:val="0"/>
        <w:spacing w:before="156" w:beforeLines="50" w:after="156" w:afterLines="50" w:line="360" w:lineRule="auto"/>
        <w:ind w:firstLine="480" w:firstLineChars="200"/>
        <w:rPr>
          <w:rFonts w:hint="eastAsia" w:ascii="宋体" w:hAnsi="宋体"/>
          <w:kern w:val="0"/>
          <w:sz w:val="24"/>
        </w:rPr>
      </w:pPr>
      <w:r>
        <w:rPr>
          <w:rFonts w:hint="eastAsia" w:eastAsia="新宋体"/>
          <w:sz w:val="24"/>
        </w:rPr>
        <w:t>《家具项目采购需求管理指南》</w:t>
      </w:r>
      <w:r>
        <w:rPr>
          <w:rFonts w:hint="eastAsia" w:ascii="宋体" w:hAnsi="宋体"/>
          <w:kern w:val="0"/>
          <w:sz w:val="24"/>
        </w:rPr>
        <w:t>团体标准与现行相关法律、法规、规章及相关标准，特别是强制性标准完全保持一致。</w:t>
      </w:r>
    </w:p>
    <w:p w14:paraId="037BC7C4">
      <w:pPr>
        <w:numPr>
          <w:ilvl w:val="0"/>
          <w:numId w:val="2"/>
        </w:numPr>
        <w:adjustRightInd w:val="0"/>
        <w:snapToGrid w:val="0"/>
        <w:spacing w:line="360" w:lineRule="auto"/>
        <w:ind w:left="425" w:leftChars="0" w:hanging="425" w:firstLineChars="0"/>
        <w:outlineLvl w:val="0"/>
        <w:rPr>
          <w:rFonts w:hint="eastAsia" w:ascii="黑体" w:eastAsia="黑体"/>
          <w:sz w:val="28"/>
          <w:szCs w:val="28"/>
        </w:rPr>
      </w:pPr>
      <w:bookmarkStart w:id="7" w:name="_Hlk190764991"/>
      <w:r>
        <w:rPr>
          <w:rFonts w:hint="eastAsia" w:ascii="黑体" w:eastAsia="黑体"/>
          <w:sz w:val="28"/>
          <w:szCs w:val="28"/>
        </w:rPr>
        <w:t>重大分歧意见的处理经过和依据</w:t>
      </w:r>
      <w:bookmarkEnd w:id="7"/>
    </w:p>
    <w:p w14:paraId="3EAB5C08">
      <w:pPr>
        <w:adjustRightInd w:val="0"/>
        <w:snapToGrid w:val="0"/>
        <w:spacing w:before="156" w:beforeLines="50" w:after="156" w:afterLines="50" w:line="360" w:lineRule="auto"/>
        <w:ind w:firstLine="480" w:firstLineChars="200"/>
        <w:rPr>
          <w:rFonts w:ascii="宋体" w:hAnsi="宋体"/>
          <w:kern w:val="0"/>
          <w:sz w:val="24"/>
        </w:rPr>
      </w:pPr>
      <w:r>
        <w:rPr>
          <w:rFonts w:hint="eastAsia" w:ascii="宋体" w:hAnsi="宋体"/>
          <w:sz w:val="24"/>
        </w:rPr>
        <w:t>该标准在起草过程中，没有产生重大分歧</w:t>
      </w:r>
      <w:r>
        <w:rPr>
          <w:rFonts w:hint="eastAsia" w:ascii="宋体" w:hAnsi="宋体"/>
          <w:kern w:val="0"/>
          <w:sz w:val="24"/>
        </w:rPr>
        <w:t>。</w:t>
      </w:r>
    </w:p>
    <w:p w14:paraId="5F4F76E5">
      <w:pPr>
        <w:numPr>
          <w:ilvl w:val="0"/>
          <w:numId w:val="2"/>
        </w:numPr>
        <w:adjustRightInd w:val="0"/>
        <w:snapToGrid w:val="0"/>
        <w:spacing w:line="360" w:lineRule="auto"/>
        <w:ind w:left="425" w:leftChars="0" w:hanging="425" w:firstLineChars="0"/>
        <w:outlineLvl w:val="0"/>
        <w:rPr>
          <w:rFonts w:hint="eastAsia" w:ascii="黑体" w:eastAsia="黑体"/>
          <w:sz w:val="28"/>
          <w:szCs w:val="28"/>
        </w:rPr>
      </w:pPr>
      <w:bookmarkStart w:id="8" w:name="_Hlk190765021"/>
      <w:r>
        <w:rPr>
          <w:rFonts w:hint="eastAsia" w:ascii="黑体" w:eastAsia="黑体"/>
          <w:sz w:val="28"/>
          <w:szCs w:val="28"/>
        </w:rPr>
        <w:t>贯彻标准的要求和措施建议</w:t>
      </w:r>
      <w:bookmarkEnd w:id="8"/>
    </w:p>
    <w:p w14:paraId="0F0DFE31">
      <w:pPr>
        <w:adjustRightInd w:val="0"/>
        <w:snapToGrid w:val="0"/>
        <w:spacing w:before="156" w:beforeLines="50" w:after="156" w:afterLines="50" w:line="360" w:lineRule="auto"/>
        <w:ind w:firstLine="480" w:firstLineChars="200"/>
        <w:rPr>
          <w:rFonts w:hint="eastAsia" w:ascii="新宋体" w:hAnsi="新宋体" w:eastAsia="新宋体"/>
          <w:sz w:val="24"/>
        </w:rPr>
      </w:pPr>
      <w:r>
        <w:rPr>
          <w:rFonts w:hint="eastAsia" w:ascii="新宋体" w:hAnsi="新宋体" w:eastAsia="新宋体"/>
          <w:sz w:val="24"/>
        </w:rPr>
        <w:t>建议本标准在发布之后，于一个月后正式实施。在从发布到实施的</w:t>
      </w:r>
      <w:r>
        <w:rPr>
          <w:rFonts w:hint="eastAsia" w:ascii="新宋体" w:hAnsi="新宋体" w:eastAsia="新宋体"/>
          <w:sz w:val="24"/>
          <w:lang w:val="en-US" w:eastAsia="zh-CN"/>
        </w:rPr>
        <w:t>过程</w:t>
      </w:r>
      <w:r>
        <w:rPr>
          <w:rFonts w:hint="eastAsia" w:ascii="新宋体" w:hAnsi="新宋体" w:eastAsia="新宋体"/>
          <w:sz w:val="24"/>
        </w:rPr>
        <w:t>，浙江省政府采购联合会和浙江省家具行业协会将</w:t>
      </w:r>
      <w:r>
        <w:rPr>
          <w:rFonts w:hint="eastAsia" w:ascii="新宋体" w:hAnsi="新宋体" w:eastAsia="新宋体"/>
          <w:sz w:val="24"/>
          <w:lang w:val="en-US" w:eastAsia="zh-CN"/>
        </w:rPr>
        <w:t>加强</w:t>
      </w:r>
      <w:r>
        <w:rPr>
          <w:rFonts w:hint="eastAsia" w:ascii="新宋体" w:hAnsi="新宋体" w:eastAsia="新宋体"/>
          <w:sz w:val="24"/>
        </w:rPr>
        <w:t>标准的宣传贯彻工作。一方面，精心组织标准培训会，为采购人、代理机构详细讲解《家具项目采购需求管理指南》的内容和使用方法；另一方面，充分利用网站、公众号等多种媒介对标准进行全面深入的解读。同时，标准参编单位也将积极主动地配合宣贯工作，齐心协力确保标准得以有效执行。</w:t>
      </w:r>
    </w:p>
    <w:p w14:paraId="5C47B726">
      <w:pPr>
        <w:numPr>
          <w:ilvl w:val="0"/>
          <w:numId w:val="2"/>
        </w:numPr>
        <w:adjustRightInd w:val="0"/>
        <w:snapToGrid w:val="0"/>
        <w:spacing w:line="360" w:lineRule="auto"/>
        <w:ind w:left="425" w:leftChars="0" w:hanging="425" w:firstLineChars="0"/>
        <w:outlineLvl w:val="0"/>
        <w:rPr>
          <w:rFonts w:hint="eastAsia" w:ascii="黑体" w:eastAsia="黑体"/>
          <w:sz w:val="28"/>
          <w:szCs w:val="28"/>
        </w:rPr>
      </w:pPr>
      <w:bookmarkStart w:id="9" w:name="_Hlk190765030"/>
      <w:r>
        <w:rPr>
          <w:rFonts w:hint="eastAsia" w:ascii="黑体" w:eastAsia="黑体"/>
          <w:sz w:val="28"/>
          <w:szCs w:val="28"/>
        </w:rPr>
        <w:t>废止现行相关标准的建议</w:t>
      </w:r>
      <w:bookmarkEnd w:id="9"/>
    </w:p>
    <w:p w14:paraId="320005B6">
      <w:pPr>
        <w:pStyle w:val="13"/>
        <w:spacing w:before="156" w:beforeLines="50" w:after="156" w:afterLines="50" w:line="360" w:lineRule="auto"/>
        <w:ind w:firstLine="480"/>
        <w:rPr>
          <w:rFonts w:ascii="Times New Roman" w:hAnsi="Times New Roman" w:eastAsia="新宋体"/>
          <w:sz w:val="24"/>
        </w:rPr>
      </w:pPr>
      <w:r>
        <w:rPr>
          <w:rFonts w:hint="eastAsia" w:ascii="Times New Roman" w:hAnsi="Times New Roman" w:eastAsia="新宋体"/>
          <w:sz w:val="24"/>
        </w:rPr>
        <w:t>本标准为现行</w:t>
      </w:r>
      <w:r>
        <w:rPr>
          <w:rFonts w:hint="eastAsia" w:ascii="Times New Roman" w:hAnsi="Times New Roman" w:eastAsia="新宋体"/>
          <w:sz w:val="24"/>
          <w:lang w:val="en-US" w:eastAsia="zh-CN"/>
        </w:rPr>
        <w:t>T/ZJGPA 1</w:t>
      </w:r>
      <w:r>
        <w:rPr>
          <w:rFonts w:hint="eastAsia" w:ascii="Times New Roman" w:hAnsi="Times New Roman" w:eastAsia="新宋体"/>
          <w:sz w:val="24"/>
        </w:rPr>
        <w:t>—2021</w:t>
      </w:r>
      <w:r>
        <w:rPr>
          <w:rFonts w:hint="eastAsia" w:ascii="Times New Roman" w:hAnsi="Times New Roman" w:eastAsia="新宋体"/>
          <w:sz w:val="24"/>
          <w:lang w:eastAsia="zh-CN"/>
        </w:rPr>
        <w:t>、</w:t>
      </w:r>
      <w:r>
        <w:rPr>
          <w:rFonts w:hint="eastAsia" w:ascii="Times New Roman" w:hAnsi="Times New Roman" w:eastAsia="新宋体"/>
          <w:sz w:val="24"/>
        </w:rPr>
        <w:t>T/ZFA 2—2021《政府采购 家具项目采购需求管理指南》</w:t>
      </w:r>
      <w:r>
        <w:rPr>
          <w:rFonts w:hint="eastAsia" w:ascii="Times New Roman" w:hAnsi="Times New Roman" w:eastAsia="新宋体"/>
          <w:sz w:val="24"/>
          <w:lang w:val="en-US" w:eastAsia="zh-CN"/>
        </w:rPr>
        <w:t>团体</w:t>
      </w:r>
      <w:r>
        <w:rPr>
          <w:rFonts w:hint="eastAsia" w:ascii="Times New Roman" w:hAnsi="Times New Roman" w:eastAsia="新宋体"/>
          <w:sz w:val="24"/>
        </w:rPr>
        <w:t>标准的修订版，本标准实施后建议废止</w:t>
      </w:r>
      <w:r>
        <w:rPr>
          <w:rFonts w:hint="eastAsia" w:ascii="Times New Roman" w:hAnsi="Times New Roman" w:eastAsia="新宋体"/>
          <w:sz w:val="24"/>
          <w:lang w:val="en-US" w:eastAsia="zh-CN"/>
        </w:rPr>
        <w:t>T/ZJGPA 1</w:t>
      </w:r>
      <w:r>
        <w:rPr>
          <w:rFonts w:hint="eastAsia" w:ascii="Times New Roman" w:hAnsi="Times New Roman" w:eastAsia="新宋体"/>
          <w:sz w:val="24"/>
        </w:rPr>
        <w:t>—2021</w:t>
      </w:r>
      <w:r>
        <w:rPr>
          <w:rFonts w:hint="eastAsia" w:ascii="Times New Roman" w:hAnsi="Times New Roman" w:eastAsia="新宋体"/>
          <w:sz w:val="24"/>
          <w:lang w:eastAsia="zh-CN"/>
        </w:rPr>
        <w:t>、</w:t>
      </w:r>
      <w:r>
        <w:rPr>
          <w:rFonts w:hint="eastAsia" w:ascii="Times New Roman" w:hAnsi="Times New Roman" w:eastAsia="新宋体"/>
          <w:sz w:val="24"/>
        </w:rPr>
        <w:t>T/ZFA 2—2021《政府采购 家具项目采购需求管理指南》。</w:t>
      </w:r>
    </w:p>
    <w:p w14:paraId="30FF4AFA">
      <w:pPr>
        <w:pStyle w:val="13"/>
        <w:spacing w:before="156" w:beforeLines="50" w:after="156" w:afterLines="50" w:line="360" w:lineRule="auto"/>
        <w:ind w:firstLine="480"/>
        <w:rPr>
          <w:rFonts w:hint="eastAsia" w:ascii="Times New Roman" w:hAnsi="Times New Roman" w:eastAsia="新宋体"/>
          <w:sz w:val="24"/>
        </w:rPr>
      </w:pPr>
      <w:r>
        <w:rPr>
          <w:rFonts w:hint="eastAsia" w:ascii="Times New Roman" w:hAnsi="Times New Roman" w:eastAsia="新宋体"/>
          <w:sz w:val="24"/>
        </w:rPr>
        <w:t>无废止其他标准相关建议。</w:t>
      </w:r>
    </w:p>
    <w:p w14:paraId="7A5DBF4C">
      <w:pPr>
        <w:numPr>
          <w:ilvl w:val="0"/>
          <w:numId w:val="2"/>
        </w:numPr>
        <w:adjustRightInd w:val="0"/>
        <w:snapToGrid w:val="0"/>
        <w:spacing w:line="360" w:lineRule="auto"/>
        <w:ind w:left="425" w:leftChars="0" w:hanging="425" w:firstLineChars="0"/>
        <w:outlineLvl w:val="0"/>
        <w:rPr>
          <w:rFonts w:hint="eastAsia" w:ascii="黑体" w:eastAsia="黑体"/>
          <w:sz w:val="28"/>
          <w:szCs w:val="28"/>
        </w:rPr>
      </w:pPr>
      <w:bookmarkStart w:id="10" w:name="_Hlk190765039"/>
      <w:r>
        <w:rPr>
          <w:rFonts w:hint="eastAsia" w:ascii="黑体" w:eastAsia="黑体"/>
          <w:sz w:val="28"/>
          <w:szCs w:val="28"/>
        </w:rPr>
        <w:t>其它应予说明的事项</w:t>
      </w:r>
      <w:bookmarkEnd w:id="10"/>
    </w:p>
    <w:p w14:paraId="7980D02D">
      <w:pPr>
        <w:adjustRightInd w:val="0"/>
        <w:snapToGrid w:val="0"/>
        <w:spacing w:before="156" w:beforeLines="50" w:after="156" w:afterLines="50" w:line="360" w:lineRule="auto"/>
        <w:ind w:firstLine="480" w:firstLineChars="200"/>
        <w:rPr>
          <w:rFonts w:ascii="宋体" w:hAnsi="宋体"/>
          <w:kern w:val="0"/>
          <w:sz w:val="24"/>
        </w:rPr>
      </w:pPr>
      <w:r>
        <w:rPr>
          <w:rFonts w:hint="eastAsia" w:ascii="宋体" w:hAnsi="宋体"/>
          <w:kern w:val="0"/>
          <w:sz w:val="24"/>
        </w:rPr>
        <w:t>无。</w:t>
      </w:r>
    </w:p>
    <w:p w14:paraId="0AB9A6E2">
      <w:pPr>
        <w:pStyle w:val="13"/>
        <w:spacing w:line="360" w:lineRule="auto"/>
        <w:ind w:firstLine="480"/>
        <w:jc w:val="right"/>
        <w:rPr>
          <w:rFonts w:ascii="宋体" w:hAnsi="宋体"/>
          <w:kern w:val="0"/>
          <w:sz w:val="24"/>
        </w:rPr>
      </w:pPr>
    </w:p>
    <w:p w14:paraId="0F43E187">
      <w:pPr>
        <w:pStyle w:val="13"/>
        <w:spacing w:line="360" w:lineRule="auto"/>
        <w:ind w:firstLine="480"/>
        <w:jc w:val="right"/>
        <w:rPr>
          <w:rFonts w:ascii="宋体" w:hAnsi="宋体"/>
          <w:kern w:val="0"/>
          <w:sz w:val="24"/>
        </w:rPr>
      </w:pPr>
    </w:p>
    <w:p w14:paraId="3A2FBF13">
      <w:pPr>
        <w:adjustRightInd w:val="0"/>
        <w:snapToGrid w:val="0"/>
        <w:spacing w:before="156" w:beforeLines="50" w:after="156" w:afterLines="50" w:line="360" w:lineRule="auto"/>
        <w:jc w:val="right"/>
        <w:rPr>
          <w:rFonts w:ascii="宋体" w:hAnsi="宋体"/>
          <w:kern w:val="0"/>
          <w:sz w:val="24"/>
        </w:rPr>
      </w:pPr>
      <w:r>
        <w:rPr>
          <w:rFonts w:hint="eastAsia" w:ascii="宋体" w:hAnsi="宋体"/>
          <w:kern w:val="0"/>
          <w:sz w:val="24"/>
        </w:rPr>
        <w:t>《家具项目采购需求管理指南》</w:t>
      </w:r>
      <w:r>
        <w:rPr>
          <w:rFonts w:hint="eastAsia" w:ascii="宋体" w:hAnsi="宋体"/>
          <w:kern w:val="0"/>
          <w:sz w:val="24"/>
          <w:lang w:val="en-US" w:eastAsia="zh-CN"/>
        </w:rPr>
        <w:t>编制</w:t>
      </w:r>
      <w:r>
        <w:rPr>
          <w:rFonts w:hint="eastAsia" w:ascii="宋体" w:hAnsi="宋体"/>
          <w:kern w:val="0"/>
          <w:sz w:val="24"/>
        </w:rPr>
        <w:t>组</w:t>
      </w:r>
    </w:p>
    <w:p w14:paraId="131EC066">
      <w:pPr>
        <w:adjustRightInd w:val="0"/>
        <w:snapToGrid w:val="0"/>
        <w:spacing w:before="156" w:beforeLines="50" w:after="156" w:afterLines="50" w:line="360" w:lineRule="auto"/>
        <w:ind w:firstLine="480" w:firstLineChars="200"/>
        <w:jc w:val="right"/>
        <w:rPr>
          <w:rFonts w:ascii="宋体" w:hAnsi="宋体"/>
          <w:kern w:val="0"/>
          <w:sz w:val="24"/>
        </w:rPr>
      </w:pPr>
      <w:r>
        <w:rPr>
          <w:rFonts w:hint="eastAsia" w:ascii="宋体" w:hAnsi="宋体"/>
          <w:kern w:val="0"/>
          <w:sz w:val="24"/>
        </w:rPr>
        <w:t>2025年</w:t>
      </w:r>
      <w:r>
        <w:rPr>
          <w:rFonts w:hint="eastAsia" w:ascii="宋体" w:hAnsi="宋体"/>
          <w:kern w:val="0"/>
          <w:sz w:val="24"/>
          <w:lang w:val="en-US" w:eastAsia="zh-CN"/>
        </w:rPr>
        <w:t>2</w:t>
      </w:r>
      <w:r>
        <w:rPr>
          <w:rFonts w:hint="eastAsia" w:ascii="宋体" w:hAnsi="宋体"/>
          <w:kern w:val="0"/>
          <w:sz w:val="24"/>
        </w:rPr>
        <w:t>月</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DejaVu Sans">
    <w:altName w:val="Times New Roman"/>
    <w:panose1 w:val="00000000000000000000"/>
    <w:charset w:val="00"/>
    <w:family w:val="roman"/>
    <w:pitch w:val="default"/>
    <w:sig w:usb0="00000000" w:usb1="00000000" w:usb2="00000008" w:usb3="00000000" w:csb0="000001FF" w:csb1="00000000"/>
  </w:font>
  <w:font w:name="楷体_GB2312">
    <w:altName w:val="楷体"/>
    <w:panose1 w:val="00000000000000000000"/>
    <w:charset w:val="86"/>
    <w:family w:val="roma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imes">
    <w:altName w:val="CG Times"/>
    <w:panose1 w:val="02020603050405020304"/>
    <w:charset w:val="00"/>
    <w:family w:val="roman"/>
    <w:pitch w:val="default"/>
    <w:sig w:usb0="00000000" w:usb1="00000000" w:usb2="00000000" w:usb3="00000000" w:csb0="00000093" w:csb1="00000000"/>
  </w:font>
  <w:font w:name="CG Times">
    <w:panose1 w:val="02020603050405020304"/>
    <w:charset w:val="00"/>
    <w:family w:val="auto"/>
    <w:pitch w:val="default"/>
    <w:sig w:usb0="00000007" w:usb1="00000000" w:usb2="00000000" w:usb3="00000000" w:csb0="00000093"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CC401">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715C0B">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C715C0B">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7AAB34"/>
    <w:multiLevelType w:val="multilevel"/>
    <w:tmpl w:val="B57AAB34"/>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ascii="黑体" w:hAnsi="黑体" w:eastAsia="黑体" w:cs="黑体"/>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2C5917C3"/>
    <w:multiLevelType w:val="multilevel"/>
    <w:tmpl w:val="2C5917C3"/>
    <w:lvl w:ilvl="0" w:tentative="0">
      <w:start w:val="1"/>
      <w:numFmt w:val="none"/>
      <w:pStyle w:val="15"/>
      <w:lvlText w:val="%1——"/>
      <w:lvlJc w:val="left"/>
      <w:pPr>
        <w:tabs>
          <w:tab w:val="left" w:pos="851"/>
        </w:tabs>
        <w:ind w:left="851" w:hanging="426"/>
      </w:pPr>
      <w:rPr>
        <w:rFonts w:hint="eastAsia" w:ascii="宋体" w:hAnsi="Times New Roman" w:eastAsia="宋体"/>
        <w:b w:val="0"/>
        <w:i w:val="0"/>
        <w:sz w:val="21"/>
        <w:lang w:val="en-US"/>
      </w:rPr>
    </w:lvl>
    <w:lvl w:ilvl="1" w:tentative="0">
      <w:start w:val="1"/>
      <w:numFmt w:val="none"/>
      <w:lvlText w:val=""/>
      <w:lvlJc w:val="left"/>
      <w:pPr>
        <w:ind w:left="851" w:hanging="431"/>
      </w:pPr>
      <w:rPr>
        <w:rFonts w:hint="default" w:ascii="Symbol" w:hAnsi="Symbol"/>
        <w:sz w:val="21"/>
      </w:rPr>
    </w:lvl>
    <w:lvl w:ilvl="2" w:tentative="0">
      <w:start w:val="1"/>
      <w:numFmt w:val="bullet"/>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3299"/>
    <w:rsid w:val="0003432D"/>
    <w:rsid w:val="000347CC"/>
    <w:rsid w:val="0009284D"/>
    <w:rsid w:val="00131419"/>
    <w:rsid w:val="001A6BB6"/>
    <w:rsid w:val="001D21CA"/>
    <w:rsid w:val="001E6F43"/>
    <w:rsid w:val="002105B3"/>
    <w:rsid w:val="002169DC"/>
    <w:rsid w:val="00283DE3"/>
    <w:rsid w:val="002B7AC0"/>
    <w:rsid w:val="002E0C5E"/>
    <w:rsid w:val="002E282A"/>
    <w:rsid w:val="00347E07"/>
    <w:rsid w:val="00437F4D"/>
    <w:rsid w:val="00451EA9"/>
    <w:rsid w:val="004B18A0"/>
    <w:rsid w:val="004E6AAD"/>
    <w:rsid w:val="004F2019"/>
    <w:rsid w:val="00533237"/>
    <w:rsid w:val="00563299"/>
    <w:rsid w:val="00572575"/>
    <w:rsid w:val="005859E5"/>
    <w:rsid w:val="005A7841"/>
    <w:rsid w:val="005D2FDB"/>
    <w:rsid w:val="00630CA2"/>
    <w:rsid w:val="0067733A"/>
    <w:rsid w:val="006C1543"/>
    <w:rsid w:val="0072563C"/>
    <w:rsid w:val="007637A6"/>
    <w:rsid w:val="007A11F0"/>
    <w:rsid w:val="007C4E0A"/>
    <w:rsid w:val="007C59BB"/>
    <w:rsid w:val="007E0443"/>
    <w:rsid w:val="0085713D"/>
    <w:rsid w:val="00866FC5"/>
    <w:rsid w:val="0088154E"/>
    <w:rsid w:val="008C3BF7"/>
    <w:rsid w:val="00915816"/>
    <w:rsid w:val="00942FA8"/>
    <w:rsid w:val="009518A5"/>
    <w:rsid w:val="009E22F9"/>
    <w:rsid w:val="00A13C47"/>
    <w:rsid w:val="00A62999"/>
    <w:rsid w:val="00A822BC"/>
    <w:rsid w:val="00AF7EAF"/>
    <w:rsid w:val="00B03092"/>
    <w:rsid w:val="00B10ADD"/>
    <w:rsid w:val="00BA5D63"/>
    <w:rsid w:val="00BC2A0C"/>
    <w:rsid w:val="00BD3D3C"/>
    <w:rsid w:val="00BE7FCA"/>
    <w:rsid w:val="00C13B6C"/>
    <w:rsid w:val="00C5704F"/>
    <w:rsid w:val="00C618ED"/>
    <w:rsid w:val="00CA7301"/>
    <w:rsid w:val="00CC2275"/>
    <w:rsid w:val="00CD679B"/>
    <w:rsid w:val="00CE7E60"/>
    <w:rsid w:val="00D1548B"/>
    <w:rsid w:val="00D57D33"/>
    <w:rsid w:val="00DF02B7"/>
    <w:rsid w:val="00E06C47"/>
    <w:rsid w:val="00E315D6"/>
    <w:rsid w:val="00E55F47"/>
    <w:rsid w:val="00E931C1"/>
    <w:rsid w:val="00E9370D"/>
    <w:rsid w:val="00E93F46"/>
    <w:rsid w:val="00E956A2"/>
    <w:rsid w:val="00EB0493"/>
    <w:rsid w:val="00F2400C"/>
    <w:rsid w:val="00F63599"/>
    <w:rsid w:val="00F67B86"/>
    <w:rsid w:val="00F83860"/>
    <w:rsid w:val="00F86A78"/>
    <w:rsid w:val="00FE4FE5"/>
    <w:rsid w:val="0159126E"/>
    <w:rsid w:val="01BF13C0"/>
    <w:rsid w:val="01CF3207"/>
    <w:rsid w:val="02E80AFB"/>
    <w:rsid w:val="030D0562"/>
    <w:rsid w:val="034D5CFC"/>
    <w:rsid w:val="040B58DB"/>
    <w:rsid w:val="04357D70"/>
    <w:rsid w:val="04486273"/>
    <w:rsid w:val="04C64E6C"/>
    <w:rsid w:val="05F1057B"/>
    <w:rsid w:val="062208AB"/>
    <w:rsid w:val="06A95B56"/>
    <w:rsid w:val="075A7DBD"/>
    <w:rsid w:val="078E1FA5"/>
    <w:rsid w:val="08E149FA"/>
    <w:rsid w:val="091F067A"/>
    <w:rsid w:val="092C57CE"/>
    <w:rsid w:val="09BA0730"/>
    <w:rsid w:val="09E55D95"/>
    <w:rsid w:val="0C0369A6"/>
    <w:rsid w:val="0C66158D"/>
    <w:rsid w:val="0C917593"/>
    <w:rsid w:val="0CA5180B"/>
    <w:rsid w:val="0CAC2D8B"/>
    <w:rsid w:val="0E460902"/>
    <w:rsid w:val="0F2033CB"/>
    <w:rsid w:val="0F533E3B"/>
    <w:rsid w:val="0F81030D"/>
    <w:rsid w:val="126556EC"/>
    <w:rsid w:val="14074B59"/>
    <w:rsid w:val="15EC04AB"/>
    <w:rsid w:val="17143815"/>
    <w:rsid w:val="173F7715"/>
    <w:rsid w:val="17864A64"/>
    <w:rsid w:val="184E7403"/>
    <w:rsid w:val="19965439"/>
    <w:rsid w:val="1A6012EA"/>
    <w:rsid w:val="1E454BFC"/>
    <w:rsid w:val="1E54365F"/>
    <w:rsid w:val="1E6F4C40"/>
    <w:rsid w:val="1ED33D4B"/>
    <w:rsid w:val="214773FB"/>
    <w:rsid w:val="21584C46"/>
    <w:rsid w:val="22250FCC"/>
    <w:rsid w:val="23C6058D"/>
    <w:rsid w:val="24612BC0"/>
    <w:rsid w:val="2524780D"/>
    <w:rsid w:val="25AE12D9"/>
    <w:rsid w:val="25E95416"/>
    <w:rsid w:val="26B958E6"/>
    <w:rsid w:val="26D92385"/>
    <w:rsid w:val="277B51EB"/>
    <w:rsid w:val="28B9421C"/>
    <w:rsid w:val="28CF3A40"/>
    <w:rsid w:val="29952905"/>
    <w:rsid w:val="29CA2459"/>
    <w:rsid w:val="29D064C1"/>
    <w:rsid w:val="29FB6A3D"/>
    <w:rsid w:val="2A1F27A5"/>
    <w:rsid w:val="2A2B2EF8"/>
    <w:rsid w:val="2A4F12D2"/>
    <w:rsid w:val="2AF27EBA"/>
    <w:rsid w:val="2B5E5008"/>
    <w:rsid w:val="2B9948E6"/>
    <w:rsid w:val="2BA016C4"/>
    <w:rsid w:val="2BDF6662"/>
    <w:rsid w:val="2BE735BA"/>
    <w:rsid w:val="2C844B41"/>
    <w:rsid w:val="2CD94E8D"/>
    <w:rsid w:val="2CEB696E"/>
    <w:rsid w:val="2D484AFE"/>
    <w:rsid w:val="2D7B4632"/>
    <w:rsid w:val="2E3C1B78"/>
    <w:rsid w:val="2E76495E"/>
    <w:rsid w:val="2F2F5238"/>
    <w:rsid w:val="2F633134"/>
    <w:rsid w:val="309D43BF"/>
    <w:rsid w:val="30C45E54"/>
    <w:rsid w:val="310F3573"/>
    <w:rsid w:val="325E2C8E"/>
    <w:rsid w:val="32D00AE0"/>
    <w:rsid w:val="32E51FD2"/>
    <w:rsid w:val="334868C9"/>
    <w:rsid w:val="33D77C4D"/>
    <w:rsid w:val="353D7F83"/>
    <w:rsid w:val="357D1D19"/>
    <w:rsid w:val="35977DB1"/>
    <w:rsid w:val="36592B9B"/>
    <w:rsid w:val="36FCDB24"/>
    <w:rsid w:val="37227431"/>
    <w:rsid w:val="37B00EE0"/>
    <w:rsid w:val="38312345"/>
    <w:rsid w:val="3AB6680E"/>
    <w:rsid w:val="3BDF8A3A"/>
    <w:rsid w:val="3BFD7004"/>
    <w:rsid w:val="3D4217FB"/>
    <w:rsid w:val="3DBC0320"/>
    <w:rsid w:val="3DC34275"/>
    <w:rsid w:val="3FF30EC5"/>
    <w:rsid w:val="3FFBCE0B"/>
    <w:rsid w:val="40000B2E"/>
    <w:rsid w:val="40534A39"/>
    <w:rsid w:val="41AA4BF2"/>
    <w:rsid w:val="423A41C8"/>
    <w:rsid w:val="43BE4993"/>
    <w:rsid w:val="44C77178"/>
    <w:rsid w:val="45482758"/>
    <w:rsid w:val="455A17FB"/>
    <w:rsid w:val="45AA0617"/>
    <w:rsid w:val="473D3E13"/>
    <w:rsid w:val="487C7D84"/>
    <w:rsid w:val="495F4514"/>
    <w:rsid w:val="4960020B"/>
    <w:rsid w:val="4D050F60"/>
    <w:rsid w:val="4D5A127B"/>
    <w:rsid w:val="4DAB0F44"/>
    <w:rsid w:val="4DB288EC"/>
    <w:rsid w:val="4E3A1315"/>
    <w:rsid w:val="4F583EE0"/>
    <w:rsid w:val="509267F5"/>
    <w:rsid w:val="509A4673"/>
    <w:rsid w:val="51ED6B61"/>
    <w:rsid w:val="522D4ACA"/>
    <w:rsid w:val="534722A1"/>
    <w:rsid w:val="5449248C"/>
    <w:rsid w:val="54AE255B"/>
    <w:rsid w:val="54C3004D"/>
    <w:rsid w:val="54E17B6E"/>
    <w:rsid w:val="54F4658B"/>
    <w:rsid w:val="55AF3CCC"/>
    <w:rsid w:val="55C91693"/>
    <w:rsid w:val="56016118"/>
    <w:rsid w:val="56441211"/>
    <w:rsid w:val="571E5A0F"/>
    <w:rsid w:val="573E1179"/>
    <w:rsid w:val="58066460"/>
    <w:rsid w:val="5A0E58C7"/>
    <w:rsid w:val="5A997840"/>
    <w:rsid w:val="5ADE4F7B"/>
    <w:rsid w:val="5AF727FF"/>
    <w:rsid w:val="5BC87CF7"/>
    <w:rsid w:val="5BDA7C0D"/>
    <w:rsid w:val="5D1060C0"/>
    <w:rsid w:val="5DDAFAED"/>
    <w:rsid w:val="5DEF1A83"/>
    <w:rsid w:val="5E1A213F"/>
    <w:rsid w:val="5EFEF70C"/>
    <w:rsid w:val="5F1B20E6"/>
    <w:rsid w:val="5F758932"/>
    <w:rsid w:val="5FAB7C28"/>
    <w:rsid w:val="5FED1B48"/>
    <w:rsid w:val="60542072"/>
    <w:rsid w:val="60803CD6"/>
    <w:rsid w:val="62C76F5B"/>
    <w:rsid w:val="64BD75CD"/>
    <w:rsid w:val="65554CF2"/>
    <w:rsid w:val="65A768F0"/>
    <w:rsid w:val="661125EB"/>
    <w:rsid w:val="68815DFE"/>
    <w:rsid w:val="69F94627"/>
    <w:rsid w:val="6A3C022E"/>
    <w:rsid w:val="6A5A4FCE"/>
    <w:rsid w:val="6A8B3DA6"/>
    <w:rsid w:val="6B0503C8"/>
    <w:rsid w:val="6BD416A7"/>
    <w:rsid w:val="6BEFBFDD"/>
    <w:rsid w:val="6BFD651F"/>
    <w:rsid w:val="6C3F4006"/>
    <w:rsid w:val="6D691963"/>
    <w:rsid w:val="6E291DFC"/>
    <w:rsid w:val="6E4EF56A"/>
    <w:rsid w:val="6EA011F3"/>
    <w:rsid w:val="6F7D8769"/>
    <w:rsid w:val="6F8508B1"/>
    <w:rsid w:val="6FEE84F1"/>
    <w:rsid w:val="6FEEEF94"/>
    <w:rsid w:val="6FFF9340"/>
    <w:rsid w:val="7021599E"/>
    <w:rsid w:val="70C20DD3"/>
    <w:rsid w:val="71E116BB"/>
    <w:rsid w:val="71FFDE0E"/>
    <w:rsid w:val="72062387"/>
    <w:rsid w:val="726C685A"/>
    <w:rsid w:val="72BE4039"/>
    <w:rsid w:val="73F60C4F"/>
    <w:rsid w:val="740C1244"/>
    <w:rsid w:val="740E5704"/>
    <w:rsid w:val="744376BA"/>
    <w:rsid w:val="75F511E3"/>
    <w:rsid w:val="777C7E18"/>
    <w:rsid w:val="777F4000"/>
    <w:rsid w:val="77A2369A"/>
    <w:rsid w:val="77B9E846"/>
    <w:rsid w:val="77F2A5B9"/>
    <w:rsid w:val="77FFFB6C"/>
    <w:rsid w:val="783779BF"/>
    <w:rsid w:val="78A31478"/>
    <w:rsid w:val="7AB931D5"/>
    <w:rsid w:val="7B332551"/>
    <w:rsid w:val="7BB5A947"/>
    <w:rsid w:val="7BE86E29"/>
    <w:rsid w:val="7C774956"/>
    <w:rsid w:val="7CBD787C"/>
    <w:rsid w:val="7D190922"/>
    <w:rsid w:val="7DBDEB88"/>
    <w:rsid w:val="7DF336DF"/>
    <w:rsid w:val="7E211CF8"/>
    <w:rsid w:val="7EF74EE3"/>
    <w:rsid w:val="7F7D5915"/>
    <w:rsid w:val="7FAF47B7"/>
    <w:rsid w:val="7FFB4CB6"/>
    <w:rsid w:val="97EE38C7"/>
    <w:rsid w:val="9BFF4D0D"/>
    <w:rsid w:val="9D2AFB80"/>
    <w:rsid w:val="AF3B45D8"/>
    <w:rsid w:val="B5EF8DA2"/>
    <w:rsid w:val="B6FC21E6"/>
    <w:rsid w:val="B6FD98D0"/>
    <w:rsid w:val="B7DF163F"/>
    <w:rsid w:val="B9BBED08"/>
    <w:rsid w:val="BBFF051D"/>
    <w:rsid w:val="BF432198"/>
    <w:rsid w:val="BF9F7358"/>
    <w:rsid w:val="BFAB43B7"/>
    <w:rsid w:val="BFF1E790"/>
    <w:rsid w:val="BFFF3281"/>
    <w:rsid w:val="C7FEB117"/>
    <w:rsid w:val="D3BD2971"/>
    <w:rsid w:val="D7FFA78E"/>
    <w:rsid w:val="D95EE95F"/>
    <w:rsid w:val="D9FA0525"/>
    <w:rsid w:val="D9FF779C"/>
    <w:rsid w:val="DBEFCCD5"/>
    <w:rsid w:val="DEFD92A8"/>
    <w:rsid w:val="E1FFBBE0"/>
    <w:rsid w:val="E5EF46A0"/>
    <w:rsid w:val="E6368DBE"/>
    <w:rsid w:val="E6F66E00"/>
    <w:rsid w:val="EB7D4874"/>
    <w:rsid w:val="ED362EA6"/>
    <w:rsid w:val="EDEF11D4"/>
    <w:rsid w:val="EFFF2EE1"/>
    <w:rsid w:val="F3AC1CBC"/>
    <w:rsid w:val="F4FD36C8"/>
    <w:rsid w:val="F5FAD50E"/>
    <w:rsid w:val="F7575DA4"/>
    <w:rsid w:val="F7E7AD32"/>
    <w:rsid w:val="F7FAE977"/>
    <w:rsid w:val="F9FFF18B"/>
    <w:rsid w:val="FA8D712A"/>
    <w:rsid w:val="FBDDF097"/>
    <w:rsid w:val="FBF51650"/>
    <w:rsid w:val="FBF668A4"/>
    <w:rsid w:val="FCA5597F"/>
    <w:rsid w:val="FCE3A298"/>
    <w:rsid w:val="FDA47917"/>
    <w:rsid w:val="FDB7FE72"/>
    <w:rsid w:val="FDD717B6"/>
    <w:rsid w:val="FDDCE338"/>
    <w:rsid w:val="FDFBA8E7"/>
    <w:rsid w:val="FE7B2344"/>
    <w:rsid w:val="FF579900"/>
    <w:rsid w:val="FF5CE811"/>
    <w:rsid w:val="FF7E8E37"/>
    <w:rsid w:val="FFB19D28"/>
    <w:rsid w:val="FFB748E5"/>
    <w:rsid w:val="FFCEC67C"/>
    <w:rsid w:val="FFD75498"/>
    <w:rsid w:val="FFE37D2C"/>
    <w:rsid w:val="FFE5E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qFormat/>
    <w:uiPriority w:val="9"/>
    <w:pPr>
      <w:keepNext/>
      <w:keepLines/>
      <w:spacing w:before="260" w:after="260" w:line="416" w:lineRule="auto"/>
      <w:outlineLvl w:val="2"/>
    </w:pPr>
    <w:rPr>
      <w:rFonts w:ascii="Calibri" w:hAnsi="Calibri" w:eastAsia="宋体" w:cs="Times New Roman"/>
      <w:b/>
      <w:bCs/>
      <w:sz w:val="32"/>
      <w:szCs w:val="32"/>
    </w:rPr>
  </w:style>
  <w:style w:type="paragraph" w:styleId="5">
    <w:name w:val="heading 4"/>
    <w:basedOn w:val="1"/>
    <w:next w:val="1"/>
    <w:link w:val="19"/>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0">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8">
    <w:name w:val="Normal (Web)"/>
    <w:basedOn w:val="1"/>
    <w:qFormat/>
    <w:uiPriority w:val="0"/>
    <w:pPr>
      <w:spacing w:beforeAutospacing="1" w:afterAutospacing="1"/>
      <w:jc w:val="left"/>
    </w:pPr>
    <w:rPr>
      <w:kern w:val="0"/>
      <w:sz w:val="24"/>
    </w:rPr>
  </w:style>
  <w:style w:type="character" w:styleId="11">
    <w:name w:val="Strong"/>
    <w:basedOn w:val="10"/>
    <w:qFormat/>
    <w:uiPriority w:val="0"/>
    <w:rPr>
      <w:b/>
    </w:rPr>
  </w:style>
  <w:style w:type="character" w:styleId="12">
    <w:name w:val="Emphasis"/>
    <w:basedOn w:val="10"/>
    <w:qFormat/>
    <w:uiPriority w:val="0"/>
    <w:rPr>
      <w:i/>
    </w:rPr>
  </w:style>
  <w:style w:type="paragraph" w:customStyle="1" w:styleId="13">
    <w:name w:val="l正文"/>
    <w:qFormat/>
    <w:uiPriority w:val="0"/>
    <w:pPr>
      <w:widowControl w:val="0"/>
      <w:spacing w:line="300" w:lineRule="auto"/>
      <w:ind w:firstLine="200" w:firstLineChars="200"/>
      <w:jc w:val="both"/>
    </w:pPr>
    <w:rPr>
      <w:rFonts w:ascii="楷体_GB2312" w:hAnsi="Times" w:eastAsia="楷体_GB2312" w:cs="Times New Roman"/>
      <w:kern w:val="2"/>
      <w:sz w:val="21"/>
      <w:szCs w:val="24"/>
      <w:lang w:val="en-US" w:eastAsia="zh-CN" w:bidi="ar-SA"/>
    </w:rPr>
  </w:style>
  <w:style w:type="paragraph" w:customStyle="1" w:styleId="14">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5">
    <w:name w:val="标准文件_一级项"/>
    <w:qFormat/>
    <w:uiPriority w:val="0"/>
    <w:pPr>
      <w:numPr>
        <w:ilvl w:val="0"/>
        <w:numId w:val="1"/>
      </w:numPr>
    </w:pPr>
    <w:rPr>
      <w:rFonts w:ascii="宋体" w:hAnsi="Times New Roman" w:eastAsia="宋体" w:cs="Times New Roman"/>
      <w:sz w:val="21"/>
      <w:lang w:val="en-US" w:eastAsia="zh-CN" w:bidi="ar-SA"/>
    </w:rPr>
  </w:style>
  <w:style w:type="paragraph" w:customStyle="1" w:styleId="16">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7">
    <w:name w:val="font11"/>
    <w:basedOn w:val="10"/>
    <w:qFormat/>
    <w:uiPriority w:val="0"/>
    <w:rPr>
      <w:rFonts w:hint="eastAsia" w:ascii="宋体" w:hAnsi="宋体" w:eastAsia="宋体" w:cs="宋体"/>
      <w:color w:val="000000"/>
      <w:sz w:val="28"/>
      <w:szCs w:val="28"/>
      <w:u w:val="none"/>
    </w:rPr>
  </w:style>
  <w:style w:type="character" w:customStyle="1" w:styleId="18">
    <w:name w:val="font21"/>
    <w:basedOn w:val="10"/>
    <w:qFormat/>
    <w:uiPriority w:val="0"/>
    <w:rPr>
      <w:rFonts w:hint="eastAsia" w:ascii="宋体" w:hAnsi="宋体" w:eastAsia="宋体" w:cs="宋体"/>
      <w:color w:val="000000"/>
      <w:sz w:val="28"/>
      <w:szCs w:val="28"/>
      <w:u w:val="none"/>
    </w:rPr>
  </w:style>
  <w:style w:type="character" w:customStyle="1" w:styleId="19">
    <w:name w:val="标题 4 字符"/>
    <w:basedOn w:val="10"/>
    <w:link w:val="5"/>
    <w:semiHidden/>
    <w:qFormat/>
    <w:uiPriority w:val="0"/>
    <w:rPr>
      <w:rFonts w:asciiTheme="majorHAnsi" w:hAnsiTheme="majorHAnsi" w:eastAsiaTheme="majorEastAsia" w:cstheme="majorBidi"/>
      <w:b/>
      <w:bCs/>
      <w:kern w:val="2"/>
      <w:sz w:val="28"/>
      <w:szCs w:val="28"/>
    </w:rPr>
  </w:style>
  <w:style w:type="character" w:customStyle="1" w:styleId="20">
    <w:name w:val="标准文件_段 Char"/>
    <w:basedOn w:val="10"/>
    <w:qFormat/>
    <w:uiPriority w:val="0"/>
    <w:rPr>
      <w:rFonts w:hint="eastAsia" w:ascii="宋体" w:hAnsi="Times New Roman" w:eastAsia="宋体" w:cs="宋体"/>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3E5488-5EAC-4AED-BB05-2701E4F3CD3B}">
  <ds:schemaRefs/>
</ds:datastoreItem>
</file>

<file path=docProps/app.xml><?xml version="1.0" encoding="utf-8"?>
<Properties xmlns="http://schemas.openxmlformats.org/officeDocument/2006/extended-properties" xmlns:vt="http://schemas.openxmlformats.org/officeDocument/2006/docPropsVTypes">
  <Template>Normal</Template>
  <Pages>17</Pages>
  <Words>10801</Words>
  <Characters>11661</Characters>
  <Lines>50</Lines>
  <Paragraphs>14</Paragraphs>
  <TotalTime>2</TotalTime>
  <ScaleCrop>false</ScaleCrop>
  <LinksUpToDate>false</LinksUpToDate>
  <CharactersWithSpaces>11950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2025-02-17T05:24:00Z</dcterms:created>
  <dc:creator>Administrator</dc:creator>
  <cp:lastModifiedBy>Michelle</cp:lastModifiedBy>
  <cp:lastPrinted>2025-02-20T01:38:00Z</cp:lastPrinted>
  <dcterms:modified xsi:type="dcterms:W3CDTF">2025-02-25T07:54:29Z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9E3E678E63B2455F930D404066E9C4F0</vt:lpwstr>
  </property>
  <property fmtid="{D5CDD505-2E9C-101B-9397-08002B2CF9AE}" pid="4" name="KSOTemplateDocerSaveRecord">
    <vt:lpwstr>eyJoZGlkIjoiMzYwMzhlODAyMmViMzI4Mjk4ZjM4ODI4Zjc1YzhlYjAiLCJ1c2VySWQiOiIzNDA3NDE2NDkifQ==</vt:lpwstr>
  </property>
</Properties>
</file>